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color w:val="252525" w:themeColor="text1" w:themeTint="D9"/>
          <w:w w:val="95"/>
          <w:sz w:val="40"/>
          <w:szCs w:val="40"/>
        </w:rPr>
      </w:pPr>
      <w:bookmarkStart w:id="0" w:name="_GoBack"/>
      <w:bookmarkEnd w:id="0"/>
      <w:r>
        <w:rPr>
          <w:rFonts w:hint="eastAsia" w:ascii="黑体" w:hAnsi="黑体" w:eastAsia="黑体" w:cs="黑体"/>
          <w:bCs/>
          <w:color w:val="252525" w:themeColor="text1" w:themeTint="D9"/>
          <w:w w:val="95"/>
          <w:sz w:val="40"/>
          <w:szCs w:val="40"/>
        </w:rPr>
        <w:t>南川区东城街道大铺子居委三</w:t>
      </w:r>
      <w:r>
        <w:rPr>
          <w:rFonts w:hint="eastAsia" w:ascii="黑体" w:hAnsi="黑体" w:eastAsia="黑体" w:cs="黑体"/>
          <w:bCs/>
          <w:color w:val="252525" w:themeColor="text1" w:themeTint="D9"/>
          <w:w w:val="95"/>
          <w:sz w:val="40"/>
          <w:szCs w:val="40"/>
          <w:lang w:val="en-US" w:eastAsia="zh-CN"/>
        </w:rPr>
        <w:t>组</w:t>
      </w:r>
      <w:r>
        <w:rPr>
          <w:rFonts w:hint="eastAsia" w:ascii="黑体" w:hAnsi="黑体" w:eastAsia="黑体" w:cs="黑体"/>
          <w:bCs/>
          <w:color w:val="252525" w:themeColor="text1" w:themeTint="D9"/>
          <w:w w:val="95"/>
          <w:sz w:val="40"/>
          <w:szCs w:val="40"/>
        </w:rPr>
        <w:t>水泥配料用页岩矿采矿权拍卖出让公告</w:t>
      </w:r>
    </w:p>
    <w:p>
      <w:pPr>
        <w:jc w:val="center"/>
        <w:rPr>
          <w:rFonts w:ascii="黑体" w:hAnsi="黑体" w:eastAsia="黑体" w:cs="黑体"/>
          <w:bCs/>
          <w:color w:val="252525" w:themeColor="text1" w:themeTint="D9"/>
          <w:sz w:val="28"/>
          <w:szCs w:val="28"/>
        </w:rPr>
      </w:pPr>
      <w:r>
        <w:rPr>
          <w:rFonts w:hint="eastAsia" w:ascii="黑体" w:hAnsi="黑体" w:eastAsia="黑体" w:cs="黑体"/>
          <w:bCs/>
          <w:color w:val="252525" w:themeColor="text1" w:themeTint="D9"/>
          <w:sz w:val="28"/>
          <w:szCs w:val="28"/>
        </w:rPr>
        <w:t>渝矿采出字〔</w:t>
      </w:r>
      <w:r>
        <w:rPr>
          <w:rFonts w:ascii="黑体" w:hAnsi="黑体" w:eastAsia="黑体" w:cs="黑体"/>
          <w:bCs/>
          <w:color w:val="252525" w:themeColor="text1" w:themeTint="D9"/>
          <w:sz w:val="28"/>
          <w:szCs w:val="28"/>
        </w:rPr>
        <w:t>2025〕（南川）</w:t>
      </w:r>
      <w:r>
        <w:rPr>
          <w:rFonts w:hint="eastAsia" w:ascii="黑体" w:hAnsi="黑体" w:eastAsia="黑体" w:cs="黑体"/>
          <w:bCs/>
          <w:color w:val="252525" w:themeColor="text1" w:themeTint="D9"/>
          <w:sz w:val="28"/>
          <w:szCs w:val="28"/>
        </w:rPr>
        <w:t>1</w:t>
      </w:r>
      <w:r>
        <w:rPr>
          <w:rFonts w:ascii="黑体" w:hAnsi="黑体" w:eastAsia="黑体" w:cs="黑体"/>
          <w:bCs/>
          <w:color w:val="252525" w:themeColor="text1" w:themeTint="D9"/>
          <w:sz w:val="28"/>
          <w:szCs w:val="28"/>
        </w:rPr>
        <w:t>号</w:t>
      </w:r>
    </w:p>
    <w:p>
      <w:pPr>
        <w:spacing w:line="36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根据国家和重庆市的相关规定，重庆市南川区规划和自然资源局决定公开拍卖出让以下采矿权，并委托重庆市公共资源交易中心负责公开出让交易环节的组织实施。现将有关事项公告如下：</w:t>
      </w:r>
    </w:p>
    <w:p>
      <w:pPr>
        <w:spacing w:line="360" w:lineRule="exact"/>
        <w:ind w:firstLine="440" w:firstLineChars="200"/>
        <w:rPr>
          <w:rFonts w:asciiTheme="minorEastAsia" w:hAnsiTheme="minorEastAsia" w:cstheme="minorEastAsia"/>
          <w:b/>
          <w:color w:val="252525" w:themeColor="text1" w:themeTint="D9"/>
          <w:sz w:val="22"/>
        </w:rPr>
      </w:pPr>
      <w:r>
        <w:rPr>
          <w:rFonts w:hint="eastAsia" w:asciiTheme="minorEastAsia" w:hAnsiTheme="minorEastAsia" w:cstheme="minorEastAsia"/>
          <w:color w:val="252525" w:themeColor="text1" w:themeTint="D9"/>
          <w:sz w:val="22"/>
        </w:rPr>
        <w:t>本次公开出让的采矿权采用网上交易方式。本次公告同步发布的网站：中华人民共和国自然资源部</w:t>
      </w:r>
      <w:r>
        <w:rPr>
          <w:rFonts w:ascii="Times New Roman" w:hAnsi="Times New Roman" w:cs="Times New Roman"/>
          <w:i/>
          <w:iCs/>
          <w:color w:val="252525" w:themeColor="text1" w:themeTint="D9"/>
          <w:sz w:val="22"/>
        </w:rPr>
        <w:t>（https://www.mnr.gov.cn/）</w:t>
      </w:r>
      <w:r>
        <w:rPr>
          <w:rFonts w:hint="eastAsia" w:asciiTheme="minorEastAsia" w:hAnsiTheme="minorEastAsia" w:cstheme="minorEastAsia"/>
          <w:color w:val="252525" w:themeColor="text1" w:themeTint="D9"/>
          <w:sz w:val="22"/>
        </w:rPr>
        <w:t>、重庆市规划和自然资源局网站</w:t>
      </w:r>
      <w:r>
        <w:rPr>
          <w:rFonts w:ascii="Times New Roman" w:hAnsi="Times New Roman" w:cs="Times New Roman"/>
          <w:i/>
          <w:iCs/>
          <w:color w:val="252525" w:themeColor="text1" w:themeTint="D9"/>
          <w:sz w:val="22"/>
        </w:rPr>
        <w:t>（http://ghzrzyj.cq.gov.cn）</w:t>
      </w:r>
      <w:r>
        <w:rPr>
          <w:rFonts w:hint="eastAsia" w:asciiTheme="minorEastAsia" w:hAnsiTheme="minorEastAsia" w:cstheme="minorEastAsia"/>
          <w:color w:val="252525" w:themeColor="text1" w:themeTint="D9"/>
          <w:sz w:val="22"/>
        </w:rPr>
        <w:t>、重庆市公共资源交易中心网站</w:t>
      </w:r>
      <w:r>
        <w:rPr>
          <w:rFonts w:ascii="Times New Roman" w:hAnsi="Times New Roman" w:cs="Times New Roman"/>
          <w:i/>
          <w:iCs/>
          <w:color w:val="252525" w:themeColor="text1" w:themeTint="D9"/>
          <w:sz w:val="22"/>
        </w:rPr>
        <w:t>（https://www.cqggzy.com/）</w:t>
      </w:r>
      <w:r>
        <w:rPr>
          <w:rFonts w:hint="eastAsia" w:asciiTheme="minorEastAsia" w:hAnsiTheme="minorEastAsia" w:cstheme="minorEastAsia"/>
          <w:color w:val="252525" w:themeColor="text1" w:themeTint="D9"/>
          <w:sz w:val="22"/>
        </w:rPr>
        <w:t>、</w:t>
      </w:r>
      <w:r>
        <w:rPr>
          <w:rFonts w:hint="eastAsia" w:asciiTheme="minorEastAsia" w:hAnsiTheme="minorEastAsia" w:cstheme="minorEastAsia"/>
          <w:iCs/>
          <w:color w:val="252525" w:themeColor="text1" w:themeTint="D9"/>
          <w:sz w:val="22"/>
          <w:u w:val="single"/>
        </w:rPr>
        <w:t>重庆市南川区人民政府网站</w:t>
      </w:r>
      <w:r>
        <w:rPr>
          <w:rFonts w:ascii="Times New Roman" w:hAnsi="Times New Roman" w:cs="Times New Roman"/>
          <w:i/>
          <w:iCs/>
          <w:color w:val="252525" w:themeColor="text1" w:themeTint="D9"/>
          <w:sz w:val="22"/>
        </w:rPr>
        <w:t>（http://www.cqnc.gov.cn/）</w:t>
      </w:r>
      <w:r>
        <w:rPr>
          <w:rFonts w:hint="eastAsia" w:asciiTheme="minorEastAsia" w:hAnsiTheme="minorEastAsia" w:cstheme="minorEastAsia"/>
          <w:color w:val="252525" w:themeColor="text1" w:themeTint="D9"/>
          <w:sz w:val="22"/>
        </w:rPr>
        <w:t>。</w:t>
      </w:r>
    </w:p>
    <w:p>
      <w:pPr>
        <w:spacing w:line="36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一、基本情况</w:t>
      </w:r>
    </w:p>
    <w:tbl>
      <w:tblPr>
        <w:tblStyle w:val="8"/>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序号</w:t>
            </w:r>
          </w:p>
        </w:tc>
        <w:tc>
          <w:tcPr>
            <w:tcW w:w="151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采矿权名称</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（暂定名）</w:t>
            </w:r>
          </w:p>
        </w:tc>
        <w:tc>
          <w:tcPr>
            <w:tcW w:w="110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地理位置</w:t>
            </w:r>
          </w:p>
        </w:tc>
        <w:tc>
          <w:tcPr>
            <w:tcW w:w="108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矿种</w:t>
            </w:r>
          </w:p>
        </w:tc>
        <w:tc>
          <w:tcPr>
            <w:tcW w:w="149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矿区范围</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拐点坐标</w:t>
            </w:r>
          </w:p>
        </w:tc>
        <w:tc>
          <w:tcPr>
            <w:tcW w:w="114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资源储量</w:t>
            </w:r>
          </w:p>
        </w:tc>
        <w:tc>
          <w:tcPr>
            <w:tcW w:w="122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矿区面积</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(平方公里)</w:t>
            </w:r>
          </w:p>
        </w:tc>
        <w:tc>
          <w:tcPr>
            <w:tcW w:w="1045"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开采</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标高</w:t>
            </w:r>
          </w:p>
        </w:tc>
        <w:tc>
          <w:tcPr>
            <w:tcW w:w="106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拟建设生产规模</w:t>
            </w:r>
          </w:p>
        </w:tc>
        <w:tc>
          <w:tcPr>
            <w:tcW w:w="85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出让年限(年)</w:t>
            </w:r>
          </w:p>
        </w:tc>
        <w:tc>
          <w:tcPr>
            <w:tcW w:w="1134"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出让收益起始价</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（万元）</w:t>
            </w:r>
          </w:p>
        </w:tc>
        <w:tc>
          <w:tcPr>
            <w:tcW w:w="92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保证金金额</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pPr>
              <w:jc w:val="center"/>
              <w:rPr>
                <w:rFonts w:asciiTheme="minorEastAsia" w:hAnsiTheme="minorEastAsia" w:cstheme="minorEastAsia"/>
                <w:color w:val="252525" w:themeColor="text1" w:themeTint="D9"/>
                <w:sz w:val="22"/>
                <w:highlight w:val="yellow"/>
              </w:rPr>
            </w:pPr>
            <w:r>
              <w:rPr>
                <w:rFonts w:asciiTheme="minorEastAsia" w:hAnsiTheme="minorEastAsia" w:cstheme="minorEastAsia"/>
                <w:color w:val="252525" w:themeColor="text1" w:themeTint="D9"/>
                <w:sz w:val="22"/>
              </w:rPr>
              <w:t>NCG</w:t>
            </w:r>
            <w:r>
              <w:rPr>
                <w:rFonts w:hint="eastAsia" w:asciiTheme="minorEastAsia" w:hAnsiTheme="minorEastAsia" w:cstheme="minorEastAsia"/>
                <w:color w:val="252525" w:themeColor="text1" w:themeTint="D9"/>
                <w:sz w:val="22"/>
              </w:rPr>
              <w:t>C</w:t>
            </w:r>
            <w:r>
              <w:rPr>
                <w:rFonts w:asciiTheme="minorEastAsia" w:hAnsiTheme="minorEastAsia" w:cstheme="minorEastAsia"/>
                <w:color w:val="252525" w:themeColor="text1" w:themeTint="D9"/>
                <w:sz w:val="22"/>
              </w:rPr>
              <w:t>2025</w:t>
            </w:r>
            <w:r>
              <w:rPr>
                <w:rFonts w:hint="eastAsia" w:asciiTheme="minorEastAsia" w:hAnsiTheme="minorEastAsia" w:cstheme="minorEastAsia"/>
                <w:color w:val="252525" w:themeColor="text1" w:themeTint="D9"/>
                <w:sz w:val="22"/>
              </w:rPr>
              <w:t>01</w:t>
            </w:r>
          </w:p>
          <w:p>
            <w:pPr>
              <w:jc w:val="center"/>
              <w:rPr>
                <w:rFonts w:asciiTheme="minorEastAsia" w:hAnsiTheme="minorEastAsia" w:cstheme="minorEastAsia"/>
                <w:color w:val="252525" w:themeColor="text1" w:themeTint="D9"/>
                <w:sz w:val="22"/>
              </w:rPr>
            </w:pPr>
          </w:p>
        </w:tc>
        <w:tc>
          <w:tcPr>
            <w:tcW w:w="151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南川区东城街道大铺子居委三组水泥配料用页岩矿</w:t>
            </w:r>
          </w:p>
        </w:tc>
        <w:tc>
          <w:tcPr>
            <w:tcW w:w="110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南川区东城街道大铺子居委三组</w:t>
            </w:r>
          </w:p>
        </w:tc>
        <w:tc>
          <w:tcPr>
            <w:tcW w:w="108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bCs/>
                <w:sz w:val="22"/>
              </w:rPr>
              <w:t>水泥配料用页岩、建筑石料用灰岩</w:t>
            </w:r>
          </w:p>
        </w:tc>
        <w:tc>
          <w:tcPr>
            <w:tcW w:w="149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详见</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《出让文件》</w:t>
            </w:r>
          </w:p>
        </w:tc>
        <w:tc>
          <w:tcPr>
            <w:tcW w:w="114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bCs/>
                <w:sz w:val="22"/>
              </w:rPr>
              <w:t>247.3万吨（水泥配料用页岩224.7万吨，建筑石料用灰岩22.6万吨）</w:t>
            </w:r>
          </w:p>
        </w:tc>
        <w:tc>
          <w:tcPr>
            <w:tcW w:w="122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0.0668</w:t>
            </w:r>
          </w:p>
        </w:tc>
        <w:tc>
          <w:tcPr>
            <w:tcW w:w="1045"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+720米至+610米</w:t>
            </w:r>
          </w:p>
        </w:tc>
        <w:tc>
          <w:tcPr>
            <w:tcW w:w="106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30万吨/年</w:t>
            </w:r>
          </w:p>
        </w:tc>
        <w:tc>
          <w:tcPr>
            <w:tcW w:w="85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7.1</w:t>
            </w:r>
          </w:p>
        </w:tc>
        <w:tc>
          <w:tcPr>
            <w:tcW w:w="1134"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362.35</w:t>
            </w:r>
          </w:p>
        </w:tc>
        <w:tc>
          <w:tcPr>
            <w:tcW w:w="92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36.235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pPr>
              <w:jc w:val="left"/>
              <w:rPr>
                <w:rFonts w:hint="default" w:asciiTheme="minorEastAsia" w:hAnsiTheme="minorEastAsia" w:eastAsiaTheme="minorEastAsia" w:cstheme="minorEastAsia"/>
                <w:color w:val="252525" w:themeColor="text1" w:themeTint="D9"/>
                <w:sz w:val="22"/>
                <w:u w:val="single"/>
                <w:lang w:val="en-US" w:eastAsia="zh-CN"/>
              </w:rPr>
            </w:pPr>
            <w:r>
              <w:rPr>
                <w:rFonts w:hint="eastAsia" w:asciiTheme="minorEastAsia" w:hAnsiTheme="minorEastAsia" w:cstheme="minorEastAsia"/>
                <w:color w:val="252525" w:themeColor="text1" w:themeTint="D9"/>
                <w:sz w:val="22"/>
              </w:rPr>
              <w:t>备注：</w:t>
            </w:r>
            <w:r>
              <w:rPr>
                <w:rFonts w:hint="eastAsia" w:asciiTheme="minorEastAsia" w:hAnsiTheme="minorEastAsia" w:cstheme="minorEastAsia"/>
                <w:color w:val="252525" w:themeColor="text1" w:themeTint="D9"/>
                <w:sz w:val="22"/>
                <w:u w:val="single"/>
                <w:lang w:val="en-US" w:eastAsia="zh-CN"/>
              </w:rPr>
              <w:t xml:space="preserve">  /   </w:t>
            </w:r>
          </w:p>
        </w:tc>
      </w:tr>
    </w:tbl>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二、出让人：</w:t>
      </w:r>
      <w:r>
        <w:rPr>
          <w:rFonts w:hint="eastAsia" w:asciiTheme="minorEastAsia" w:hAnsiTheme="minorEastAsia" w:cstheme="minorEastAsia"/>
          <w:color w:val="252525" w:themeColor="text1" w:themeTint="D9"/>
          <w:sz w:val="22"/>
        </w:rPr>
        <w:t>重庆市南川区规划和自然资源局，地址：重庆市南川区南大街89号，联系人：王老师，联系电话：023-71420530。</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三、交易平台：</w:t>
      </w:r>
      <w:r>
        <w:rPr>
          <w:rFonts w:hint="eastAsia" w:asciiTheme="minorEastAsia" w:hAnsiTheme="minorEastAsia" w:cstheme="minorEastAsia"/>
          <w:color w:val="252525" w:themeColor="text1" w:themeTint="D9"/>
          <w:sz w:val="22"/>
        </w:rPr>
        <w:t>重庆市公共资源交易中心</w:t>
      </w:r>
      <w:r>
        <w:rPr>
          <w:rFonts w:hint="eastAsia" w:asciiTheme="minorEastAsia" w:hAnsiTheme="minorEastAsia" w:cstheme="minorEastAsia"/>
          <w:bCs/>
          <w:color w:val="252525" w:themeColor="text1" w:themeTint="D9"/>
          <w:sz w:val="22"/>
        </w:rPr>
        <w:t>，</w:t>
      </w:r>
      <w:r>
        <w:rPr>
          <w:rFonts w:hint="eastAsia" w:asciiTheme="minorEastAsia" w:hAnsiTheme="minorEastAsia" w:cstheme="minorEastAsia"/>
          <w:color w:val="252525" w:themeColor="text1" w:themeTint="D9"/>
          <w:sz w:val="22"/>
        </w:rPr>
        <w:t>地址：重庆市渝北区青枫北路6号渝兴广场B9、B10栋，联系人：王老师，联系电话：023-63628117。</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四、竞买人的资质条件：</w:t>
      </w:r>
    </w:p>
    <w:p>
      <w:pPr>
        <w:spacing w:line="400" w:lineRule="exact"/>
        <w:ind w:firstLine="440" w:firstLineChars="200"/>
        <w:rPr>
          <w:rFonts w:asciiTheme="minorEastAsia" w:hAnsiTheme="minorEastAsia" w:cstheme="minorEastAsia"/>
          <w:sz w:val="22"/>
        </w:rPr>
      </w:pPr>
      <w:r>
        <w:rPr>
          <w:rFonts w:hint="eastAsia" w:asciiTheme="minorEastAsia" w:hAnsiTheme="minorEastAsia" w:cstheme="minorEastAsia"/>
          <w:sz w:val="22"/>
        </w:rPr>
        <w:t>（一）竞买申请人须为营利法人；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（二）竞买申请人属于以下情形之一的不得参与竞买：</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1.在全国矿业权人勘查开采信息管理系统的“矿业权人异常名录”、“矿业权严重失信主体”内的；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2.通过“信用中国”查询，在自然资源部联合惩戒备忘录或重庆市信用惩戒严重失信主体“黑名单”内限制禁止参与矿业权出让的；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3.被吊销采矿许可证且自吊销之日起未满2年的。</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五、出让方式及交易的时间、地点</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出让方式：拍卖</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公告时间：2025年3月14日-2025年4月11日</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网上拍卖时间：2025年4月14日10：00时</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地点：重庆市公共资源交易中心（网址：https://td.cqggzy.com/）。</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六、获取竞买文件的途径和申请报名的起止时间及方式</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w:t>
      </w:r>
      <w:r>
        <w:rPr>
          <w:rFonts w:hint="eastAsia" w:asciiTheme="minorEastAsia" w:hAnsiTheme="minorEastAsia" w:cstheme="minorEastAsia"/>
          <w:b/>
          <w:color w:val="252525" w:themeColor="text1" w:themeTint="D9"/>
          <w:sz w:val="22"/>
        </w:rPr>
        <w:t>竞买文件获取：</w:t>
      </w:r>
      <w:r>
        <w:rPr>
          <w:rFonts w:hint="eastAsia" w:asciiTheme="minorEastAsia" w:hAnsiTheme="minorEastAsia" w:cstheme="minorEastAsia"/>
          <w:color w:val="252525" w:themeColor="text1" w:themeTint="D9"/>
          <w:sz w:val="22"/>
        </w:rPr>
        <w:t>申请人在报名期限内登录重庆市公共资源交易中心网站</w:t>
      </w:r>
      <w:r>
        <w:rPr>
          <w:rFonts w:ascii="Times New Roman" w:hAnsi="Times New Roman" w:cs="Times New Roman"/>
          <w:i/>
          <w:iCs/>
          <w:color w:val="252525" w:themeColor="text1" w:themeTint="D9"/>
          <w:sz w:val="22"/>
        </w:rPr>
        <w:t>（https://www.cqggzy.com/）</w:t>
      </w:r>
      <w:r>
        <w:rPr>
          <w:rFonts w:hint="eastAsia" w:asciiTheme="minorEastAsia" w:hAnsiTheme="minorEastAsia" w:cstheme="minorEastAsia"/>
          <w:color w:val="252525" w:themeColor="text1" w:themeTint="D9"/>
          <w:sz w:val="22"/>
        </w:rPr>
        <w:t>，进入重庆市国有建设用地使用权和矿业权网上交易系统</w:t>
      </w:r>
      <w:r>
        <w:rPr>
          <w:rFonts w:ascii="Times New Roman" w:hAnsi="Times New Roman" w:cs="Times New Roman"/>
          <w:i/>
          <w:iCs/>
          <w:color w:val="252525" w:themeColor="text1" w:themeTint="D9"/>
          <w:sz w:val="22"/>
        </w:rPr>
        <w:t>（网址：https://td.cqggzy.com/）</w:t>
      </w:r>
      <w:r>
        <w:rPr>
          <w:rFonts w:hint="eastAsia" w:asciiTheme="minorEastAsia" w:hAnsiTheme="minorEastAsia" w:cstheme="minorEastAsia"/>
          <w:color w:val="252525" w:themeColor="text1" w:themeTint="D9"/>
          <w:sz w:val="22"/>
        </w:rPr>
        <w:t>，查阅、下载出让资料。</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w:t>
      </w:r>
      <w:r>
        <w:rPr>
          <w:rFonts w:hint="eastAsia" w:asciiTheme="minorEastAsia" w:hAnsiTheme="minorEastAsia" w:cstheme="minorEastAsia"/>
          <w:b/>
          <w:color w:val="252525" w:themeColor="text1" w:themeTint="D9"/>
          <w:sz w:val="22"/>
        </w:rPr>
        <w:t>网上报名时限：</w:t>
      </w:r>
      <w:r>
        <w:rPr>
          <w:rFonts w:hint="eastAsia" w:asciiTheme="minorEastAsia" w:hAnsiTheme="minorEastAsia" w:cstheme="minorEastAsia"/>
          <w:color w:val="252525" w:themeColor="text1" w:themeTint="D9"/>
          <w:sz w:val="22"/>
        </w:rPr>
        <w:t>2025年3月14日09:00时-2025年4月11日17:00时。</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（三）</w:t>
      </w:r>
      <w:r>
        <w:rPr>
          <w:rFonts w:hint="eastAsia" w:asciiTheme="minorEastAsia" w:hAnsiTheme="minorEastAsia" w:cstheme="minorEastAsia"/>
          <w:b/>
          <w:bCs/>
          <w:color w:val="252525" w:themeColor="text1" w:themeTint="D9"/>
          <w:sz w:val="22"/>
        </w:rPr>
        <w:t>网上报名方式和程序</w:t>
      </w:r>
      <w:r>
        <w:rPr>
          <w:rFonts w:hint="eastAsia" w:asciiTheme="minorEastAsia" w:hAnsiTheme="minorEastAsia" w:cstheme="minorEastAsia"/>
          <w:color w:val="252525" w:themeColor="text1" w:themeTint="D9"/>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（四）保证金的交纳详见《出让文件》。</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七、确定竞得人的标准和方法</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本次拍卖出让不设置底价，采用增价报价的方式，按照价高者得原则确定竞得人。拍卖成交后的竞得人按规定即时签订《成交确认书》，成交结果在相关网站公示10个工作日。</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八、风险提示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kern w:val="0"/>
          <w:sz w:val="22"/>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拟出让采矿权现状和出让文件已完全认可并自愿承担所有风险。</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kern w:val="0"/>
          <w:sz w:val="22"/>
        </w:rPr>
        <w:t>（二）有关该宗采矿权的用地、用水、用电、公路、环保、基础设施等工作，由竞得人自行负责解决并依法完善相关手续。</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（三）若竞得人竞得该宗采矿权后，在办理采矿登记前进行安全、环境评价等认定为不适宜开采的，该宗采矿权按不成交处理。</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九、对交易矿业权异议的处理方式</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对本次出让的采矿权存有异议的，应在采矿权出让公告期截止前以书面方式向重庆市南川区规划和自然资源局提出</w:t>
      </w:r>
      <w:r>
        <w:rPr>
          <w:rFonts w:hint="eastAsia" w:asciiTheme="minorEastAsia" w:hAnsiTheme="minorEastAsia" w:cstheme="minorEastAsia"/>
          <w:color w:val="252525" w:themeColor="text1" w:themeTint="D9"/>
          <w:kern w:val="0"/>
          <w:sz w:val="22"/>
        </w:rPr>
        <w:t>（</w:t>
      </w:r>
      <w:r>
        <w:rPr>
          <w:rFonts w:hint="eastAsia" w:asciiTheme="minorEastAsia" w:hAnsiTheme="minorEastAsia" w:cstheme="minorEastAsia"/>
          <w:color w:val="252525" w:themeColor="text1" w:themeTint="D9"/>
          <w:sz w:val="22"/>
        </w:rPr>
        <w:t>联系人：王老师，联系电话：023-71420530</w:t>
      </w:r>
      <w:r>
        <w:rPr>
          <w:rFonts w:hint="eastAsia" w:asciiTheme="minorEastAsia" w:hAnsiTheme="minorEastAsia" w:cstheme="minorEastAsia"/>
          <w:color w:val="252525" w:themeColor="text1" w:themeTint="D9"/>
          <w:kern w:val="0"/>
          <w:sz w:val="22"/>
        </w:rPr>
        <w:t>）</w:t>
      </w:r>
      <w:r>
        <w:rPr>
          <w:rFonts w:hint="eastAsia" w:asciiTheme="minorEastAsia" w:hAnsiTheme="minorEastAsia" w:cstheme="minorEastAsia"/>
          <w:color w:val="252525" w:themeColor="text1" w:themeTint="D9"/>
          <w:sz w:val="22"/>
        </w:rPr>
        <w:t>。根据所提异议的具体情况，按照《矿业权出让交易规则》（自然资规〔2023〕1号）等相关规定进行妥善处置。</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十、违约责任、公共资源交易领域失信联合惩戒相关提示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1.竞买人之间串通报价，损害国家利益、社会公共利益或者他人合法权益的；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2.竞买人弄虚作假，骗取交易资格或竞得的；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3.采取行贿或其他不正当手段竞得的；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4.竞得人逾期不签订或者拒绝签订成交确认书的；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5.竞得人逾期不签订或者拒绝签订出让合同的；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6.其他依法应当认定为违约的情形。</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十一、其他重要提示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（三）按照相关要求，该采矿权实行“净矿”出让，矿区范围内所涉及流转费用100万元，</w:t>
      </w:r>
      <w:r>
        <w:rPr>
          <w:rFonts w:hint="eastAsia" w:asciiTheme="minorEastAsia" w:hAnsiTheme="minorEastAsia" w:cstheme="minorEastAsia"/>
          <w:color w:val="252525" w:themeColor="text1" w:themeTint="D9"/>
          <w:sz w:val="22"/>
          <w:lang w:val="en-US" w:eastAsia="zh-CN"/>
        </w:rPr>
        <w:t>在出让收益外单列</w:t>
      </w:r>
      <w:r>
        <w:rPr>
          <w:rFonts w:hint="eastAsia" w:asciiTheme="minorEastAsia" w:hAnsiTheme="minorEastAsia" w:cstheme="minorEastAsia"/>
          <w:color w:val="252525" w:themeColor="text1" w:themeTint="D9"/>
          <w:sz w:val="22"/>
        </w:rPr>
        <w:t>，</w:t>
      </w:r>
      <w:r>
        <w:rPr>
          <w:rFonts w:hint="eastAsia" w:ascii="Times New Roman" w:hAnsi="Times New Roman" w:cs="Times New Roman"/>
          <w:color w:val="252525" w:themeColor="text1" w:themeTint="D9"/>
          <w:sz w:val="22"/>
        </w:rPr>
        <w:t>由竞得人另行支付。</w:t>
      </w:r>
      <w:r>
        <w:rPr>
          <w:rFonts w:hint="eastAsia" w:asciiTheme="minorEastAsia" w:hAnsiTheme="minorEastAsia" w:cstheme="minorEastAsia"/>
          <w:color w:val="252525" w:themeColor="text1" w:themeTint="D9"/>
          <w:sz w:val="22"/>
        </w:rPr>
        <w:t>竞买人在报名前须自行开展必要的现场踏勘，查询相关报告、协议、凭据等资料，了解具体支付方式及转接要求（重庆市南川区规划和自然资源局，联系人：王老师，联系电话：023-71420530）。</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（四）提交竞买申请即视为竞买人对拟出让采矿权现状、出让文件、采矿权出让合同、实施“净矿”出让费用、政策要求等内容已完全认可并自愿承担所有风险。</w:t>
      </w:r>
    </w:p>
    <w:p>
      <w:pPr>
        <w:pStyle w:val="2"/>
        <w:spacing w:line="400" w:lineRule="exact"/>
        <w:ind w:firstLine="442"/>
        <w:rPr>
          <w:rFonts w:asciiTheme="minorEastAsia" w:hAnsiTheme="minorEastAsia" w:cstheme="minorEastAsia"/>
          <w:b/>
          <w:bCs/>
          <w:color w:val="252525" w:themeColor="text1" w:themeTint="D9"/>
          <w:sz w:val="22"/>
          <w:u w:val="single"/>
        </w:rPr>
      </w:pPr>
    </w:p>
    <w:p>
      <w:pPr>
        <w:pStyle w:val="2"/>
        <w:spacing w:line="400" w:lineRule="exact"/>
        <w:ind w:firstLine="442"/>
        <w:rPr>
          <w:rFonts w:asciiTheme="minorEastAsia" w:hAnsiTheme="minorEastAsia" w:cstheme="minorEastAsia"/>
          <w:b/>
          <w:bCs/>
          <w:color w:val="252525" w:themeColor="text1" w:themeTint="D9"/>
          <w:sz w:val="22"/>
          <w:u w:val="single"/>
        </w:rPr>
      </w:pPr>
    </w:p>
    <w:p>
      <w:pPr>
        <w:spacing w:line="400" w:lineRule="exact"/>
        <w:ind w:firstLine="442" w:firstLineChars="200"/>
        <w:jc w:val="right"/>
        <w:rPr>
          <w:rFonts w:asciiTheme="minorEastAsia" w:hAnsiTheme="minorEastAsia" w:cstheme="minorEastAsia"/>
          <w:b/>
          <w:bCs/>
          <w:color w:val="252525" w:themeColor="text1" w:themeTint="D9"/>
          <w:sz w:val="22"/>
          <w:u w:val="single"/>
        </w:rPr>
      </w:pPr>
    </w:p>
    <w:p>
      <w:pPr>
        <w:spacing w:line="400" w:lineRule="exact"/>
        <w:ind w:right="440" w:firstLine="440" w:firstLineChars="200"/>
        <w:jc w:val="right"/>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重庆市南川区规划和自然资源局</w:t>
      </w:r>
    </w:p>
    <w:p>
      <w:pPr>
        <w:spacing w:line="400" w:lineRule="exact"/>
        <w:ind w:right="440" w:firstLine="440" w:firstLineChars="200"/>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 xml:space="preserve">                                                                                        2025年3月14日</w:t>
      </w:r>
    </w:p>
    <w:p>
      <w:pPr>
        <w:pStyle w:val="2"/>
        <w:spacing w:line="560" w:lineRule="exact"/>
        <w:ind w:firstLine="643"/>
        <w:rPr>
          <w:rFonts w:ascii="Times New Roman" w:hAnsi="Times New Roman" w:cs="Times New Roman"/>
          <w:b/>
          <w:bCs/>
          <w:color w:val="252525" w:themeColor="text1" w:themeTint="D9"/>
          <w:sz w:val="32"/>
          <w:szCs w:val="32"/>
          <w:u w:val="single"/>
        </w:rPr>
      </w:pPr>
    </w:p>
    <w:sectPr>
      <w:headerReference r:id="rId3" w:type="default"/>
      <w:footerReference r:id="rId5" w:type="default"/>
      <w:headerReference r:id="rId4" w:type="even"/>
      <w:footerReference r:id="rId6"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5"/>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056AAC"/>
    <w:rsid w:val="00052B90"/>
    <w:rsid w:val="00056AAC"/>
    <w:rsid w:val="00063A7E"/>
    <w:rsid w:val="00072D6E"/>
    <w:rsid w:val="000975E7"/>
    <w:rsid w:val="000D05FE"/>
    <w:rsid w:val="000D519E"/>
    <w:rsid w:val="000E191A"/>
    <w:rsid w:val="000E565C"/>
    <w:rsid w:val="0017531B"/>
    <w:rsid w:val="00184DE1"/>
    <w:rsid w:val="001A1296"/>
    <w:rsid w:val="00252459"/>
    <w:rsid w:val="0031541B"/>
    <w:rsid w:val="00340022"/>
    <w:rsid w:val="00372B68"/>
    <w:rsid w:val="00375DE0"/>
    <w:rsid w:val="003C2A29"/>
    <w:rsid w:val="003D24F6"/>
    <w:rsid w:val="0041097E"/>
    <w:rsid w:val="00460484"/>
    <w:rsid w:val="004A1185"/>
    <w:rsid w:val="004C31BE"/>
    <w:rsid w:val="004E033E"/>
    <w:rsid w:val="004E6075"/>
    <w:rsid w:val="004F18DB"/>
    <w:rsid w:val="005163E1"/>
    <w:rsid w:val="00540366"/>
    <w:rsid w:val="005710EA"/>
    <w:rsid w:val="005A5887"/>
    <w:rsid w:val="005A6AF6"/>
    <w:rsid w:val="005D425B"/>
    <w:rsid w:val="006A32F1"/>
    <w:rsid w:val="006B0DCB"/>
    <w:rsid w:val="006F4C2D"/>
    <w:rsid w:val="0071668C"/>
    <w:rsid w:val="007434A4"/>
    <w:rsid w:val="00770E77"/>
    <w:rsid w:val="007A1C57"/>
    <w:rsid w:val="007C187E"/>
    <w:rsid w:val="007C35C8"/>
    <w:rsid w:val="007C35DB"/>
    <w:rsid w:val="008364A8"/>
    <w:rsid w:val="00844ABD"/>
    <w:rsid w:val="008D7E49"/>
    <w:rsid w:val="00923AE8"/>
    <w:rsid w:val="00952520"/>
    <w:rsid w:val="00974337"/>
    <w:rsid w:val="00975F9B"/>
    <w:rsid w:val="009B53AD"/>
    <w:rsid w:val="00A52865"/>
    <w:rsid w:val="00A60346"/>
    <w:rsid w:val="00A76CEA"/>
    <w:rsid w:val="00A97D66"/>
    <w:rsid w:val="00AD50CD"/>
    <w:rsid w:val="00AF721C"/>
    <w:rsid w:val="00B02E9B"/>
    <w:rsid w:val="00B53FB6"/>
    <w:rsid w:val="00B562E2"/>
    <w:rsid w:val="00B90D82"/>
    <w:rsid w:val="00B930E5"/>
    <w:rsid w:val="00BB1DF7"/>
    <w:rsid w:val="00BC1CEC"/>
    <w:rsid w:val="00BC21BF"/>
    <w:rsid w:val="00BF2A07"/>
    <w:rsid w:val="00BF3FC7"/>
    <w:rsid w:val="00C911C9"/>
    <w:rsid w:val="00CC1C4B"/>
    <w:rsid w:val="00CD6141"/>
    <w:rsid w:val="00CE1A74"/>
    <w:rsid w:val="00CE1CA2"/>
    <w:rsid w:val="00CF36F4"/>
    <w:rsid w:val="00D01457"/>
    <w:rsid w:val="00D07BA1"/>
    <w:rsid w:val="00D3772A"/>
    <w:rsid w:val="00D41AE7"/>
    <w:rsid w:val="00D62D56"/>
    <w:rsid w:val="00DE08DA"/>
    <w:rsid w:val="00DE5647"/>
    <w:rsid w:val="00DF39DD"/>
    <w:rsid w:val="00E02C27"/>
    <w:rsid w:val="00E766B3"/>
    <w:rsid w:val="00EB0926"/>
    <w:rsid w:val="00EB12AF"/>
    <w:rsid w:val="00EC72AC"/>
    <w:rsid w:val="00ED185D"/>
    <w:rsid w:val="00F609E5"/>
    <w:rsid w:val="015A5410"/>
    <w:rsid w:val="02DD369A"/>
    <w:rsid w:val="03643436"/>
    <w:rsid w:val="052B08C7"/>
    <w:rsid w:val="05713919"/>
    <w:rsid w:val="05BD5D54"/>
    <w:rsid w:val="068E47A1"/>
    <w:rsid w:val="07C748A0"/>
    <w:rsid w:val="09227266"/>
    <w:rsid w:val="0954244D"/>
    <w:rsid w:val="0AC4540F"/>
    <w:rsid w:val="0B545B2A"/>
    <w:rsid w:val="0BA66900"/>
    <w:rsid w:val="0CDE4E82"/>
    <w:rsid w:val="0E6E1815"/>
    <w:rsid w:val="0ECF257F"/>
    <w:rsid w:val="0F0034EE"/>
    <w:rsid w:val="0F7D162F"/>
    <w:rsid w:val="11AD413C"/>
    <w:rsid w:val="14FF113E"/>
    <w:rsid w:val="15503A6C"/>
    <w:rsid w:val="16E948FB"/>
    <w:rsid w:val="178F18B2"/>
    <w:rsid w:val="18DD38F2"/>
    <w:rsid w:val="196D078A"/>
    <w:rsid w:val="1EA72953"/>
    <w:rsid w:val="1F2737CA"/>
    <w:rsid w:val="20376A7E"/>
    <w:rsid w:val="22325614"/>
    <w:rsid w:val="22774986"/>
    <w:rsid w:val="22B742D6"/>
    <w:rsid w:val="25D74E70"/>
    <w:rsid w:val="26C56296"/>
    <w:rsid w:val="279B4D84"/>
    <w:rsid w:val="2B4E3FB7"/>
    <w:rsid w:val="2C540086"/>
    <w:rsid w:val="2D111E99"/>
    <w:rsid w:val="2F312D3E"/>
    <w:rsid w:val="2F6824D5"/>
    <w:rsid w:val="2FE14568"/>
    <w:rsid w:val="30EA17EB"/>
    <w:rsid w:val="324C5035"/>
    <w:rsid w:val="3372100D"/>
    <w:rsid w:val="35A340AA"/>
    <w:rsid w:val="3C465B28"/>
    <w:rsid w:val="3C9D1002"/>
    <w:rsid w:val="3E2B3A19"/>
    <w:rsid w:val="3F376052"/>
    <w:rsid w:val="453B3381"/>
    <w:rsid w:val="46425E04"/>
    <w:rsid w:val="46A80C85"/>
    <w:rsid w:val="4A1803DB"/>
    <w:rsid w:val="4DE3788F"/>
    <w:rsid w:val="50B41F1C"/>
    <w:rsid w:val="510F4EE8"/>
    <w:rsid w:val="51400C00"/>
    <w:rsid w:val="5484169E"/>
    <w:rsid w:val="555A3E9D"/>
    <w:rsid w:val="57E9194C"/>
    <w:rsid w:val="587540EA"/>
    <w:rsid w:val="58FC03C6"/>
    <w:rsid w:val="5B637013"/>
    <w:rsid w:val="5BA21BCC"/>
    <w:rsid w:val="5FE90C8D"/>
    <w:rsid w:val="6186371D"/>
    <w:rsid w:val="61D13B9A"/>
    <w:rsid w:val="642D77AC"/>
    <w:rsid w:val="6B3D48D3"/>
    <w:rsid w:val="6D5E3D8F"/>
    <w:rsid w:val="6EDA6611"/>
    <w:rsid w:val="6FC0244C"/>
    <w:rsid w:val="723965F7"/>
    <w:rsid w:val="74121D59"/>
    <w:rsid w:val="7419167E"/>
    <w:rsid w:val="76C33C39"/>
    <w:rsid w:val="76F15155"/>
    <w:rsid w:val="77B83247"/>
    <w:rsid w:val="7924451F"/>
    <w:rsid w:val="79500588"/>
    <w:rsid w:val="7C85307C"/>
    <w:rsid w:val="7EFF08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link w:val="13"/>
    <w:qFormat/>
    <w:uiPriority w:val="0"/>
    <w:pPr>
      <w:spacing w:after="12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link w:val="14"/>
    <w:qFormat/>
    <w:uiPriority w:val="0"/>
    <w:pPr>
      <w:ind w:firstLine="420" w:firstLineChars="100"/>
    </w:pPr>
  </w:style>
  <w:style w:type="character" w:styleId="10">
    <w:name w:val="page number"/>
    <w:basedOn w:val="9"/>
    <w:qFormat/>
    <w:uiPriority w:val="0"/>
  </w:style>
  <w:style w:type="character" w:customStyle="1" w:styleId="11">
    <w:name w:val="页眉 Char"/>
    <w:basedOn w:val="9"/>
    <w:link w:val="6"/>
    <w:qFormat/>
    <w:uiPriority w:val="0"/>
    <w:rPr>
      <w:rFonts w:asciiTheme="minorHAnsi" w:hAnsiTheme="minorHAnsi" w:eastAsiaTheme="minorEastAsia" w:cstheme="minorBidi"/>
      <w:kern w:val="2"/>
      <w:sz w:val="18"/>
      <w:szCs w:val="18"/>
    </w:rPr>
  </w:style>
  <w:style w:type="paragraph" w:customStyle="1" w:styleId="12">
    <w:name w:val="报告正文"/>
    <w:qFormat/>
    <w:uiPriority w:val="0"/>
    <w:pPr>
      <w:widowControl w:val="0"/>
      <w:spacing w:line="360" w:lineRule="auto"/>
      <w:ind w:firstLine="480" w:firstLineChars="200"/>
      <w:jc w:val="center"/>
    </w:pPr>
    <w:rPr>
      <w:rFonts w:ascii="宋体" w:hAnsi="宋体" w:eastAsia="黑体" w:cstheme="minorBidi"/>
      <w:kern w:val="2"/>
      <w:sz w:val="24"/>
      <w:szCs w:val="24"/>
      <w:lang w:val="en-US" w:eastAsia="zh-CN" w:bidi="ar-SA"/>
    </w:rPr>
  </w:style>
  <w:style w:type="character" w:customStyle="1" w:styleId="13">
    <w:name w:val="正文文本 Char"/>
    <w:basedOn w:val="9"/>
    <w:link w:val="3"/>
    <w:qFormat/>
    <w:uiPriority w:val="0"/>
    <w:rPr>
      <w:rFonts w:asciiTheme="minorHAnsi" w:hAnsiTheme="minorHAnsi" w:eastAsiaTheme="minorEastAsia" w:cstheme="minorBidi"/>
      <w:kern w:val="2"/>
      <w:sz w:val="21"/>
      <w:szCs w:val="22"/>
    </w:rPr>
  </w:style>
  <w:style w:type="character" w:customStyle="1" w:styleId="14">
    <w:name w:val="正文首行缩进 Char"/>
    <w:basedOn w:val="13"/>
    <w:link w:val="7"/>
    <w:qFormat/>
    <w:uiPriority w:val="0"/>
  </w:style>
  <w:style w:type="character" w:customStyle="1" w:styleId="15">
    <w:name w:val="批注框文本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443</Words>
  <Characters>2527</Characters>
  <Lines>21</Lines>
  <Paragraphs>5</Paragraphs>
  <TotalTime>73</TotalTime>
  <ScaleCrop>false</ScaleCrop>
  <LinksUpToDate>false</LinksUpToDate>
  <CharactersWithSpaces>2965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2025-03-12T09:54:00Z</cp:lastPrinted>
  <dcterms:modified xsi:type="dcterms:W3CDTF">2025-03-13T03:49:41Z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4B3783D0A851478393A4EBF7D41F5CDC_13</vt:lpwstr>
  </property>
</Properties>
</file>