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color w:val="252525" w:themeColor="text1" w:themeTint="D9"/>
          <w:sz w:val="40"/>
          <w:szCs w:val="40"/>
        </w:rPr>
      </w:pPr>
      <w:r>
        <w:rPr>
          <w:rFonts w:hint="eastAsia" w:ascii="黑体" w:hAnsi="黑体" w:eastAsia="黑体" w:cs="黑体"/>
          <w:bCs/>
          <w:color w:val="252525" w:themeColor="text1" w:themeTint="D9"/>
          <w:sz w:val="40"/>
          <w:szCs w:val="40"/>
        </w:rPr>
        <w:t>南川区南城街道石林居委三社地热勘查探矿权拍卖出让公告</w:t>
      </w:r>
    </w:p>
    <w:p>
      <w:pPr>
        <w:jc w:val="center"/>
        <w:rPr>
          <w:rFonts w:ascii="黑体" w:hAnsi="黑体" w:eastAsia="黑体" w:cs="黑体"/>
          <w:bCs/>
          <w:color w:val="252525" w:themeColor="text1" w:themeTint="D9"/>
          <w:sz w:val="30"/>
          <w:szCs w:val="30"/>
        </w:rPr>
      </w:pPr>
      <w:r>
        <w:rPr>
          <w:rFonts w:hint="eastAsia" w:ascii="黑体" w:hAnsi="黑体" w:eastAsia="黑体" w:cs="黑体"/>
          <w:bCs/>
          <w:color w:val="252525" w:themeColor="text1" w:themeTint="D9"/>
          <w:sz w:val="30"/>
          <w:szCs w:val="30"/>
        </w:rPr>
        <w:t>渝矿探出字〔</w:t>
      </w:r>
      <w:r>
        <w:rPr>
          <w:rFonts w:ascii="黑体" w:hAnsi="黑体" w:eastAsia="黑体" w:cs="黑体"/>
          <w:bCs/>
          <w:color w:val="252525" w:themeColor="text1" w:themeTint="D9"/>
          <w:sz w:val="30"/>
          <w:szCs w:val="30"/>
        </w:rPr>
        <w:t>2025〕（南川）</w:t>
      </w:r>
      <w:r>
        <w:rPr>
          <w:rFonts w:hint="eastAsia" w:ascii="黑体" w:hAnsi="黑体" w:eastAsia="黑体" w:cs="黑体"/>
          <w:bCs/>
          <w:color w:val="252525" w:themeColor="text1" w:themeTint="D9"/>
          <w:sz w:val="30"/>
          <w:szCs w:val="30"/>
        </w:rPr>
        <w:t>1</w:t>
      </w:r>
      <w:r>
        <w:rPr>
          <w:rFonts w:ascii="黑体" w:hAnsi="黑体" w:eastAsia="黑体" w:cs="黑体"/>
          <w:bCs/>
          <w:color w:val="252525" w:themeColor="text1" w:themeTint="D9"/>
          <w:sz w:val="30"/>
          <w:szCs w:val="30"/>
        </w:rPr>
        <w:t>号</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根据国家和重庆市的相关规定，重庆市南川区规划和自然资源局决定公开拍卖出让以下探矿权，并委托重庆市公共资源交易中心负责公开出让交易环节的组织实施。现将有关事项公告如下：</w:t>
      </w:r>
    </w:p>
    <w:p>
      <w:pPr>
        <w:spacing w:line="400" w:lineRule="exact"/>
        <w:ind w:firstLine="440" w:firstLineChars="200"/>
        <w:rPr>
          <w:rFonts w:asciiTheme="minorEastAsia" w:hAnsiTheme="minorEastAsia" w:cstheme="minorEastAsia"/>
          <w:b/>
          <w:color w:val="252525" w:themeColor="text1" w:themeTint="D9"/>
          <w:sz w:val="22"/>
        </w:rPr>
      </w:pPr>
      <w:r>
        <w:rPr>
          <w:rFonts w:hint="eastAsia" w:asciiTheme="minorEastAsia" w:hAnsiTheme="minorEastAsia" w:cstheme="minorEastAsia"/>
          <w:color w:val="252525" w:themeColor="text1" w:themeTint="D9"/>
          <w:sz w:val="22"/>
        </w:rPr>
        <w:t>本次公开出让的探矿权采用网上交易方式。本次公告同步发布的网站：中华人民共和国自然资源部（https://www.mnr.gov.cn/）、重庆市规划和自然资源局网站</w:t>
      </w:r>
      <w:r>
        <w:rPr>
          <w:rFonts w:ascii="Times New Roman" w:hAnsi="Times New Roman" w:cs="Times New Roman"/>
          <w:i/>
          <w:iCs/>
          <w:color w:val="252525" w:themeColor="text1" w:themeTint="D9"/>
          <w:sz w:val="22"/>
        </w:rPr>
        <w:t>（http://ghzrzyj.cq.gov.cn）</w:t>
      </w:r>
      <w:r>
        <w:rPr>
          <w:rFonts w:hint="eastAsia" w:asciiTheme="minorEastAsia" w:hAnsiTheme="minorEastAsia" w:cstheme="minorEastAsia"/>
          <w:color w:val="252525" w:themeColor="text1" w:themeTint="D9"/>
          <w:sz w:val="22"/>
        </w:rPr>
        <w:t>、重庆市公共资源交易中心网站</w:t>
      </w:r>
      <w:r>
        <w:rPr>
          <w:rFonts w:hint="eastAsia" w:ascii="Times New Roman" w:hAnsi="Times New Roman" w:cs="Times New Roman"/>
          <w:i/>
          <w:iCs/>
          <w:color w:val="252525" w:themeColor="text1" w:themeTint="D9"/>
          <w:sz w:val="22"/>
        </w:rPr>
        <w:t>（https://www.cqggzy.com/）</w:t>
      </w:r>
      <w:r>
        <w:rPr>
          <w:rFonts w:hint="eastAsia" w:asciiTheme="minorEastAsia" w:hAnsiTheme="minorEastAsia" w:cstheme="minorEastAsia"/>
          <w:i/>
          <w:color w:val="252525" w:themeColor="text1" w:themeTint="D9"/>
          <w:sz w:val="22"/>
        </w:rPr>
        <w:t>、</w:t>
      </w:r>
      <w:r>
        <w:rPr>
          <w:rFonts w:hint="eastAsia" w:asciiTheme="minorEastAsia" w:hAnsiTheme="minorEastAsia" w:cstheme="minorEastAsia"/>
          <w:iCs/>
          <w:color w:val="252525" w:themeColor="text1" w:themeTint="D9"/>
          <w:sz w:val="22"/>
        </w:rPr>
        <w:t>重庆市南川区人民政府网站</w:t>
      </w:r>
      <w:r>
        <w:rPr>
          <w:rFonts w:hint="eastAsia" w:ascii="Times New Roman" w:hAnsi="Times New Roman" w:cs="Times New Roman"/>
          <w:i/>
          <w:iCs/>
          <w:color w:val="252525" w:themeColor="text1" w:themeTint="D9"/>
          <w:sz w:val="22"/>
        </w:rPr>
        <w:t>（http://www.cqnc.gov.cn/）</w:t>
      </w:r>
      <w:r>
        <w:rPr>
          <w:rFonts w:hint="eastAsia" w:asciiTheme="minorEastAsia" w:hAnsiTheme="minorEastAsia" w:cstheme="minorEastAsia"/>
          <w:color w:val="252525" w:themeColor="text1" w:themeTint="D9"/>
          <w:sz w:val="22"/>
        </w:rPr>
        <w:t>。</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一、基本情况</w:t>
      </w:r>
    </w:p>
    <w:tbl>
      <w:tblPr>
        <w:tblStyle w:val="7"/>
        <w:tblpPr w:leftFromText="180" w:rightFromText="180" w:vertAnchor="text" w:horzAnchor="margin" w:tblpXSpec="center" w:tblpY="41"/>
        <w:tblW w:w="13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5"/>
        <w:gridCol w:w="2052"/>
        <w:gridCol w:w="993"/>
        <w:gridCol w:w="850"/>
        <w:gridCol w:w="2126"/>
        <w:gridCol w:w="1501"/>
        <w:gridCol w:w="1022"/>
        <w:gridCol w:w="1149"/>
        <w:gridCol w:w="1229"/>
        <w:gridCol w:w="1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345"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公告序号</w:t>
            </w:r>
          </w:p>
        </w:tc>
        <w:tc>
          <w:tcPr>
            <w:tcW w:w="2052"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探矿权名称</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（暂定名）</w:t>
            </w:r>
          </w:p>
        </w:tc>
        <w:tc>
          <w:tcPr>
            <w:tcW w:w="993"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地理</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位置</w:t>
            </w:r>
          </w:p>
        </w:tc>
        <w:tc>
          <w:tcPr>
            <w:tcW w:w="850"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勘查</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矿种</w:t>
            </w:r>
          </w:p>
        </w:tc>
        <w:tc>
          <w:tcPr>
            <w:tcW w:w="2126"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勘查范围拐点坐标（2000坐标系）</w:t>
            </w:r>
          </w:p>
        </w:tc>
        <w:tc>
          <w:tcPr>
            <w:tcW w:w="1501"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勘查面积</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（平方公里）</w:t>
            </w:r>
          </w:p>
        </w:tc>
        <w:tc>
          <w:tcPr>
            <w:tcW w:w="1022"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地质工作程度</w:t>
            </w:r>
          </w:p>
        </w:tc>
        <w:tc>
          <w:tcPr>
            <w:tcW w:w="1149"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出让</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年限（年）</w:t>
            </w:r>
          </w:p>
        </w:tc>
        <w:tc>
          <w:tcPr>
            <w:tcW w:w="1229"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出让收益起始价</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（万元）</w:t>
            </w:r>
          </w:p>
        </w:tc>
        <w:tc>
          <w:tcPr>
            <w:tcW w:w="1336"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保证金</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金额</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1345" w:type="dxa"/>
            <w:vAlign w:val="center"/>
          </w:tcPr>
          <w:p>
            <w:pPr>
              <w:jc w:val="center"/>
              <w:rPr>
                <w:rFonts w:asciiTheme="minorEastAsia" w:hAnsiTheme="minorEastAsia" w:cstheme="minorEastAsia"/>
                <w:color w:val="252525" w:themeColor="text1" w:themeTint="D9"/>
                <w:sz w:val="22"/>
              </w:rPr>
            </w:pPr>
            <w:r>
              <w:rPr>
                <w:rFonts w:asciiTheme="minorEastAsia" w:hAnsiTheme="minorEastAsia" w:cstheme="minorEastAsia"/>
                <w:sz w:val="22"/>
              </w:rPr>
              <w:t>NCGT2025</w:t>
            </w:r>
            <w:r>
              <w:rPr>
                <w:rFonts w:hint="eastAsia" w:asciiTheme="minorEastAsia" w:hAnsiTheme="minorEastAsia" w:cstheme="minorEastAsia"/>
                <w:sz w:val="22"/>
              </w:rPr>
              <w:t>01</w:t>
            </w:r>
          </w:p>
        </w:tc>
        <w:tc>
          <w:tcPr>
            <w:tcW w:w="2052"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南川区南城街道石林居委三社地热勘查</w:t>
            </w:r>
          </w:p>
        </w:tc>
        <w:tc>
          <w:tcPr>
            <w:tcW w:w="993"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南川区南城街道石林居委三社</w:t>
            </w:r>
          </w:p>
        </w:tc>
        <w:tc>
          <w:tcPr>
            <w:tcW w:w="850"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地热</w:t>
            </w:r>
          </w:p>
        </w:tc>
        <w:tc>
          <w:tcPr>
            <w:tcW w:w="2126"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详见《出让文件》</w:t>
            </w:r>
          </w:p>
        </w:tc>
        <w:tc>
          <w:tcPr>
            <w:tcW w:w="1501"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1.08</w:t>
            </w:r>
          </w:p>
        </w:tc>
        <w:tc>
          <w:tcPr>
            <w:tcW w:w="1022"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详查阶段</w:t>
            </w:r>
          </w:p>
        </w:tc>
        <w:tc>
          <w:tcPr>
            <w:tcW w:w="1149"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5</w:t>
            </w:r>
          </w:p>
        </w:tc>
        <w:tc>
          <w:tcPr>
            <w:tcW w:w="1229"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21.6</w:t>
            </w:r>
          </w:p>
        </w:tc>
        <w:tc>
          <w:tcPr>
            <w:tcW w:w="1336"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3603" w:type="dxa"/>
            <w:gridSpan w:val="10"/>
            <w:vAlign w:val="center"/>
          </w:tcPr>
          <w:p>
            <w:pPr>
              <w:jc w:val="left"/>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备注：</w:t>
            </w:r>
            <w:r>
              <w:rPr>
                <w:rFonts w:hint="eastAsia" w:asciiTheme="minorEastAsia" w:hAnsiTheme="minorEastAsia" w:cstheme="minorEastAsia"/>
                <w:sz w:val="22"/>
              </w:rPr>
              <w:t>矿业权出让收益率：T﹤60℃=3.6%，60℃≦T﹤90℃=4.2%，T≧90℃=4.7%。</w:t>
            </w:r>
          </w:p>
        </w:tc>
      </w:tr>
    </w:tbl>
    <w:p>
      <w:pPr>
        <w:spacing w:line="400" w:lineRule="exact"/>
        <w:ind w:firstLine="442" w:firstLineChars="200"/>
        <w:rPr>
          <w:rFonts w:asciiTheme="minorEastAsia" w:hAnsiTheme="minorEastAsia" w:cstheme="minorEastAsia"/>
          <w:color w:val="252525" w:themeColor="text1" w:themeTint="D9"/>
          <w:sz w:val="22"/>
        </w:rPr>
      </w:pPr>
      <w:r>
        <w:rPr>
          <w:rFonts w:hint="eastAsia" w:asciiTheme="minorEastAsia" w:hAnsiTheme="minorEastAsia" w:cstheme="minorEastAsia"/>
          <w:b/>
          <w:bCs/>
          <w:color w:val="252525" w:themeColor="text1" w:themeTint="D9"/>
          <w:sz w:val="22"/>
        </w:rPr>
        <w:t>二、出让人：</w:t>
      </w:r>
      <w:r>
        <w:rPr>
          <w:rFonts w:hint="eastAsia" w:asciiTheme="minorEastAsia" w:hAnsiTheme="minorEastAsia" w:cstheme="minorEastAsia"/>
          <w:color w:val="252525" w:themeColor="text1" w:themeTint="D9"/>
          <w:sz w:val="22"/>
        </w:rPr>
        <w:t>重庆市南川区规划和自然资源局，地址：重庆市南川区南大街89号，联系人：王老师，联系电话：023-71420530 。</w:t>
      </w:r>
    </w:p>
    <w:p>
      <w:pPr>
        <w:spacing w:line="400" w:lineRule="exact"/>
        <w:ind w:firstLine="442" w:firstLineChars="200"/>
        <w:rPr>
          <w:rFonts w:asciiTheme="minorEastAsia" w:hAnsiTheme="minorEastAsia" w:cstheme="minorEastAsia"/>
          <w:color w:val="252525" w:themeColor="text1" w:themeTint="D9"/>
          <w:sz w:val="22"/>
        </w:rPr>
      </w:pPr>
      <w:r>
        <w:rPr>
          <w:rFonts w:hint="eastAsia" w:asciiTheme="minorEastAsia" w:hAnsiTheme="minorEastAsia" w:cstheme="minorEastAsia"/>
          <w:b/>
          <w:bCs/>
          <w:color w:val="252525" w:themeColor="text1" w:themeTint="D9"/>
          <w:sz w:val="22"/>
        </w:rPr>
        <w:t>三、交易平台</w:t>
      </w:r>
      <w:r>
        <w:rPr>
          <w:rFonts w:hint="eastAsia" w:asciiTheme="minorEastAsia" w:hAnsiTheme="minorEastAsia" w:cstheme="minorEastAsia"/>
          <w:color w:val="252525" w:themeColor="text1" w:themeTint="D9"/>
          <w:sz w:val="22"/>
        </w:rPr>
        <w:t>：重庆市公共资源交易中心</w:t>
      </w:r>
      <w:r>
        <w:rPr>
          <w:rFonts w:hint="eastAsia" w:asciiTheme="minorEastAsia" w:hAnsiTheme="minorEastAsia" w:cstheme="minorEastAsia"/>
          <w:bCs/>
          <w:color w:val="252525" w:themeColor="text1" w:themeTint="D9"/>
          <w:sz w:val="22"/>
        </w:rPr>
        <w:t>，</w:t>
      </w:r>
      <w:r>
        <w:rPr>
          <w:rFonts w:hint="eastAsia" w:asciiTheme="minorEastAsia" w:hAnsiTheme="minorEastAsia" w:cstheme="minorEastAsia"/>
          <w:color w:val="252525" w:themeColor="text1" w:themeTint="D9"/>
          <w:sz w:val="22"/>
        </w:rPr>
        <w:t>地址：重庆市渝北区青枫北路6号渝兴广场B9、B10栋，联系人：王老师，联系电话：023-63628117。</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四、竞买人的资质条件：</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（一）竞买申请人须为依法登记的营利法人或者非营利法人中的事业单位法人；</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（二）竞买申请人属于以下情形之一的不得参与竞买：</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1.在全国矿业权人勘查开采信息管理系统的“矿业权人异常名录”、“矿业权严重失信主体”内的；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2.通过“信用中国”查询，在自然资源部联合惩戒备忘录或重庆市信用惩戒严重失信主体“黑名单”内限制禁止参与矿业权出让的；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3. 被吊销勘查许可证且自吊销之日起未满6个月的。</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五、出让方式及交易的时间、地点</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出让方式：拍卖出让</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公告时间：2025年3月14日-2025年4月11日</w:t>
      </w:r>
      <w:bookmarkStart w:id="0" w:name="_GoBack"/>
      <w:bookmarkEnd w:id="0"/>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网上拍卖时间：2025年4月14日10:00时</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地点：重庆市公共资源交易中心（网址：https://td.cqggzy.com/）。</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六、获取竞买文件的途径和申请报名的起止时间及方式</w:t>
      </w:r>
    </w:p>
    <w:p>
      <w:pPr>
        <w:spacing w:line="400" w:lineRule="exact"/>
        <w:ind w:firstLine="442" w:firstLineChars="200"/>
        <w:rPr>
          <w:rFonts w:asciiTheme="minorEastAsia" w:hAnsiTheme="minorEastAsia" w:cstheme="minorEastAsia"/>
          <w:color w:val="252525" w:themeColor="text1" w:themeTint="D9"/>
          <w:sz w:val="22"/>
        </w:rPr>
      </w:pPr>
      <w:r>
        <w:rPr>
          <w:rFonts w:hint="eastAsia" w:asciiTheme="minorEastAsia" w:hAnsiTheme="minorEastAsia" w:cstheme="minorEastAsia"/>
          <w:b/>
          <w:bCs/>
          <w:color w:val="252525" w:themeColor="text1" w:themeTint="D9"/>
          <w:sz w:val="22"/>
        </w:rPr>
        <w:t>（一）竞买文件获取：</w:t>
      </w:r>
      <w:r>
        <w:rPr>
          <w:rFonts w:hint="eastAsia" w:asciiTheme="minorEastAsia" w:hAnsiTheme="minorEastAsia" w:cstheme="minorEastAsia"/>
          <w:color w:val="252525" w:themeColor="text1" w:themeTint="D9"/>
          <w:sz w:val="22"/>
        </w:rPr>
        <w:t>申请人在报名期限内登录重庆市公共资源交易中心网站（https://www.cqggzy.com/），进入重庆市国有建设用地使用权和矿业权网上交易系统（网址：https://td.cqggzy.com/），查阅、下载出让资料。</w:t>
      </w:r>
    </w:p>
    <w:p>
      <w:pPr>
        <w:spacing w:line="400" w:lineRule="exact"/>
        <w:ind w:firstLine="442" w:firstLineChars="200"/>
        <w:rPr>
          <w:rFonts w:asciiTheme="minorEastAsia" w:hAnsiTheme="minorEastAsia" w:cstheme="minorEastAsia"/>
          <w:color w:val="252525" w:themeColor="text1" w:themeTint="D9"/>
          <w:sz w:val="22"/>
        </w:rPr>
      </w:pPr>
      <w:r>
        <w:rPr>
          <w:rFonts w:hint="eastAsia" w:asciiTheme="minorEastAsia" w:hAnsiTheme="minorEastAsia" w:cstheme="minorEastAsia"/>
          <w:b/>
          <w:bCs/>
          <w:color w:val="252525" w:themeColor="text1" w:themeTint="D9"/>
          <w:sz w:val="22"/>
        </w:rPr>
        <w:t>（二）网上报名时限：</w:t>
      </w:r>
      <w:r>
        <w:rPr>
          <w:rFonts w:hint="eastAsia" w:asciiTheme="minorEastAsia" w:hAnsiTheme="minorEastAsia" w:cstheme="minorEastAsia"/>
          <w:color w:val="252525" w:themeColor="text1" w:themeTint="D9"/>
          <w:sz w:val="22"/>
        </w:rPr>
        <w:t>2025年3月14日09:00时-2025年4月11日17:00时</w:t>
      </w:r>
    </w:p>
    <w:p>
      <w:pPr>
        <w:spacing w:line="400" w:lineRule="exact"/>
        <w:ind w:firstLine="442" w:firstLineChars="200"/>
        <w:rPr>
          <w:rFonts w:asciiTheme="minorEastAsia" w:hAnsiTheme="minorEastAsia" w:cstheme="minorEastAsia"/>
          <w:color w:val="252525" w:themeColor="text1" w:themeTint="D9"/>
          <w:sz w:val="22"/>
        </w:rPr>
      </w:pPr>
      <w:r>
        <w:rPr>
          <w:rFonts w:hint="eastAsia" w:asciiTheme="minorEastAsia" w:hAnsiTheme="minorEastAsia" w:cstheme="minorEastAsia"/>
          <w:b/>
          <w:bCs/>
          <w:color w:val="252525" w:themeColor="text1" w:themeTint="D9"/>
          <w:sz w:val="22"/>
        </w:rPr>
        <w:t>（三）网上报名方式和程序：</w:t>
      </w:r>
      <w:r>
        <w:rPr>
          <w:rFonts w:hint="eastAsia" w:asciiTheme="minorEastAsia" w:hAnsiTheme="minorEastAsia" w:cstheme="minorEastAsia"/>
          <w:color w:val="252525" w:themeColor="text1" w:themeTint="D9"/>
          <w:sz w:val="22"/>
        </w:rPr>
        <w:t>本次公开出让的探矿权采取网上报名方式：申请人应于报名期限内登录重庆市国有建设用地使用权和矿业权网上交易系统，按规定提交竞买申请，在报名期限内足额交纳竞买保证金，提交报名资料电子档。</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（四）保证金的交纳详见《出让文件》。</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七、确定竞得人的标准和方法</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本次拍卖出让设置有底价，采用网上增价报价的方式，按照不低于底价的最高价者得原则确定竞得人。拍卖成交后的竞得人按规定即时签订《成交确认书》，成交结果在相关网站公示10个工作日。</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八、风险提示</w:t>
      </w:r>
    </w:p>
    <w:p>
      <w:pPr>
        <w:spacing w:line="400" w:lineRule="exact"/>
        <w:ind w:firstLine="440" w:firstLineChars="200"/>
        <w:rPr>
          <w:rFonts w:asciiTheme="minorEastAsia" w:hAnsiTheme="minorEastAsia" w:cstheme="minorEastAsia"/>
          <w:color w:val="252525" w:themeColor="text1" w:themeTint="D9"/>
          <w:kern w:val="0"/>
          <w:sz w:val="22"/>
        </w:rPr>
      </w:pPr>
      <w:r>
        <w:rPr>
          <w:rFonts w:hint="eastAsia" w:asciiTheme="minorEastAsia" w:hAnsiTheme="minorEastAsia" w:cstheme="minorEastAsia"/>
          <w:color w:val="252525" w:themeColor="text1" w:themeTint="D9"/>
          <w:kern w:val="0"/>
          <w:sz w:val="22"/>
        </w:rPr>
        <w:t>（一）因地质勘查工作实际需要，有关该宗探矿权的用地、用水、用电、公路、环保、基础设施等工作，由竞得人自行负责解决并依法完善相关手续。</w:t>
      </w:r>
    </w:p>
    <w:p>
      <w:pPr>
        <w:spacing w:line="400" w:lineRule="exact"/>
        <w:ind w:firstLine="440" w:firstLineChars="200"/>
        <w:rPr>
          <w:rFonts w:asciiTheme="minorEastAsia" w:hAnsiTheme="minorEastAsia" w:cstheme="minorEastAsia"/>
          <w:color w:val="252525" w:themeColor="text1" w:themeTint="D9"/>
          <w:kern w:val="0"/>
          <w:sz w:val="22"/>
        </w:rPr>
      </w:pPr>
      <w:r>
        <w:rPr>
          <w:rFonts w:hint="eastAsia" w:asciiTheme="minorEastAsia" w:hAnsiTheme="minorEastAsia" w:cstheme="minorEastAsia"/>
          <w:color w:val="252525" w:themeColor="text1" w:themeTint="D9"/>
          <w:kern w:val="0"/>
          <w:sz w:val="22"/>
        </w:rPr>
        <w:t>（二）竞得人须在取得了勘查许可证后方可开展勘查工作，并且在勘查、经营活动中严格遵守相关的法律法规，如发生违反法律法规的行为，自然资源主管部门将依法给予包括吊销勘查许可证在内的行政处罚，由此产生的法律后果由竞得人承担，出让人不退还已收取的探矿权出让收益等相关费用。</w:t>
      </w:r>
    </w:p>
    <w:p>
      <w:pPr>
        <w:spacing w:line="400" w:lineRule="exact"/>
        <w:ind w:firstLine="440" w:firstLineChars="200"/>
        <w:rPr>
          <w:rFonts w:asciiTheme="minorEastAsia" w:hAnsiTheme="minorEastAsia" w:cstheme="minorEastAsia"/>
          <w:color w:val="252525" w:themeColor="text1" w:themeTint="D9"/>
          <w:kern w:val="0"/>
          <w:sz w:val="22"/>
        </w:rPr>
      </w:pPr>
      <w:r>
        <w:rPr>
          <w:rFonts w:hint="eastAsia" w:asciiTheme="minorEastAsia" w:hAnsiTheme="minorEastAsia" w:cstheme="minorEastAsia"/>
          <w:color w:val="252525" w:themeColor="text1" w:themeTint="D9"/>
          <w:kern w:val="0"/>
          <w:sz w:val="22"/>
        </w:rPr>
        <w:t>（三）非因出让人过失造成的探矿权损减（包含但不限于勘查区块面积缩减、勘查许可证废止、勘查许可证被吊销、出让合同终止等），出让人已经收取的探矿权出让收益等费用一律不予退还。</w:t>
      </w:r>
    </w:p>
    <w:p>
      <w:pPr>
        <w:spacing w:line="400" w:lineRule="exact"/>
        <w:ind w:firstLine="440" w:firstLineChars="200"/>
        <w:rPr>
          <w:rFonts w:asciiTheme="minorEastAsia" w:hAnsiTheme="minorEastAsia" w:cstheme="minorEastAsia"/>
          <w:color w:val="252525" w:themeColor="text1" w:themeTint="D9"/>
          <w:kern w:val="0"/>
          <w:sz w:val="22"/>
        </w:rPr>
      </w:pPr>
      <w:r>
        <w:rPr>
          <w:rFonts w:hint="eastAsia" w:asciiTheme="minorEastAsia" w:hAnsiTheme="minorEastAsia" w:cstheme="minorEastAsia"/>
          <w:color w:val="252525" w:themeColor="text1" w:themeTint="D9"/>
          <w:kern w:val="0"/>
          <w:sz w:val="22"/>
        </w:rPr>
        <w:t>（四）矿产资源勘查有着不可预见的风险，竞买申请人须慎重并自行承担风险。出现包含但不限于下列的情形，出让人不退还已收取的探矿权出让收益等相关费用。</w:t>
      </w:r>
    </w:p>
    <w:p>
      <w:pPr>
        <w:spacing w:line="400" w:lineRule="exact"/>
        <w:ind w:firstLine="440" w:firstLineChars="200"/>
        <w:rPr>
          <w:rFonts w:asciiTheme="minorEastAsia" w:hAnsiTheme="minorEastAsia" w:cstheme="minorEastAsia"/>
          <w:color w:val="252525" w:themeColor="text1" w:themeTint="D9"/>
          <w:kern w:val="0"/>
          <w:sz w:val="22"/>
        </w:rPr>
      </w:pPr>
      <w:r>
        <w:rPr>
          <w:rFonts w:hint="eastAsia" w:asciiTheme="minorEastAsia" w:hAnsiTheme="minorEastAsia" w:cstheme="minorEastAsia"/>
          <w:color w:val="252525" w:themeColor="text1" w:themeTint="D9"/>
          <w:kern w:val="0"/>
          <w:sz w:val="22"/>
        </w:rPr>
        <w:t>1.在勘查许可证载明的区块范围和有效期限内,不能找到可供开采的矿产资源；</w:t>
      </w:r>
    </w:p>
    <w:p>
      <w:pPr>
        <w:spacing w:line="400" w:lineRule="exact"/>
        <w:ind w:firstLine="440" w:firstLineChars="200"/>
        <w:rPr>
          <w:rFonts w:asciiTheme="minorEastAsia" w:hAnsiTheme="minorEastAsia" w:cstheme="minorEastAsia"/>
          <w:color w:val="252525" w:themeColor="text1" w:themeTint="D9"/>
          <w:kern w:val="0"/>
          <w:sz w:val="22"/>
        </w:rPr>
      </w:pPr>
      <w:r>
        <w:rPr>
          <w:rFonts w:hint="eastAsia" w:asciiTheme="minorEastAsia" w:hAnsiTheme="minorEastAsia" w:cstheme="minorEastAsia"/>
          <w:color w:val="252525" w:themeColor="text1" w:themeTint="D9"/>
          <w:kern w:val="0"/>
          <w:sz w:val="22"/>
        </w:rPr>
        <w:t>2.法律法规修改或国家政策变化、矿产资源规划调整，包括但不限于安全、环境保护、产业政策等要求,对特定探矿手段、选矿方法的限制对探矿权造成不利影响或不能转为采矿权的；</w:t>
      </w:r>
    </w:p>
    <w:p>
      <w:pPr>
        <w:spacing w:line="400" w:lineRule="exact"/>
        <w:ind w:firstLine="440" w:firstLineChars="200"/>
        <w:rPr>
          <w:rFonts w:asciiTheme="minorEastAsia" w:hAnsiTheme="minorEastAsia" w:cstheme="minorEastAsia"/>
          <w:color w:val="252525" w:themeColor="text1" w:themeTint="D9"/>
          <w:kern w:val="0"/>
          <w:sz w:val="22"/>
        </w:rPr>
      </w:pPr>
      <w:r>
        <w:rPr>
          <w:rFonts w:hint="eastAsia" w:asciiTheme="minorEastAsia" w:hAnsiTheme="minorEastAsia" w:cstheme="minorEastAsia"/>
          <w:color w:val="252525" w:themeColor="text1" w:themeTint="D9"/>
          <w:kern w:val="0"/>
          <w:sz w:val="22"/>
        </w:rPr>
        <w:t>3.以往开展的地质工作、形成的地质勘查资料存在瑕疵。</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九、对交易矿业权异议的处理方式</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对本次出让的探矿权存有异议的，应在探矿权出让公告期截止前以书面方式向重庆市南川区规划和自然资源局提出</w:t>
      </w:r>
      <w:r>
        <w:rPr>
          <w:rFonts w:hint="eastAsia" w:asciiTheme="minorEastAsia" w:hAnsiTheme="minorEastAsia" w:cstheme="minorEastAsia"/>
          <w:color w:val="252525" w:themeColor="text1" w:themeTint="D9"/>
          <w:kern w:val="0"/>
          <w:sz w:val="22"/>
        </w:rPr>
        <w:t>（</w:t>
      </w:r>
      <w:r>
        <w:rPr>
          <w:rFonts w:hint="eastAsia" w:asciiTheme="minorEastAsia" w:hAnsiTheme="minorEastAsia" w:cstheme="minorEastAsia"/>
          <w:color w:val="252525" w:themeColor="text1" w:themeTint="D9"/>
          <w:sz w:val="22"/>
        </w:rPr>
        <w:t>联系人：王老师 ，联系电话：023-71420530</w:t>
      </w:r>
      <w:r>
        <w:rPr>
          <w:rFonts w:hint="eastAsia" w:asciiTheme="minorEastAsia" w:hAnsiTheme="minorEastAsia" w:cstheme="minorEastAsia"/>
          <w:color w:val="252525" w:themeColor="text1" w:themeTint="D9"/>
          <w:kern w:val="0"/>
          <w:sz w:val="22"/>
        </w:rPr>
        <w:t>）</w:t>
      </w:r>
      <w:r>
        <w:rPr>
          <w:rFonts w:hint="eastAsia" w:asciiTheme="minorEastAsia" w:hAnsiTheme="minorEastAsia" w:cstheme="minorEastAsia"/>
          <w:color w:val="252525" w:themeColor="text1" w:themeTint="D9"/>
          <w:sz w:val="22"/>
        </w:rPr>
        <w:t>。根据所提异议的具体情况，按照《矿业权出让交易规则》（自然资规〔2023〕1号）等相关规定进行妥善处置。</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十、违约责任、公共资源交易领域失信联合惩戒相关提示</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（二）有下列情形之一的，视为竞买人、竞得人违约，竞得结果无效，并将其列入失信联合惩戒名单、竞买保证金不予退还，出让方有权不再签订出让合同或解除合同：</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1.竞买人之间串通报价，损害国家利益、社会公共利益或者他人合法权益的；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2.竞买人弄虚作假，骗取交易资格或竞得的；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3.采取行贿或其他不正当手段竞得的；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4.竞得人逾期不签订或者拒绝签订成交确认书的；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5.竞得人逾期不签订或者拒绝签订出让合同的；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6.其他依法应当认定为违约的情形。</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十一、其他重要提示</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（一）竞得人在探矿权区块范围内开展勘查工作应按照《矿山地质环境保护规定》履行矿山地质环境保护相关义务。</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（二）按照国家和重庆市有关规定，本次出让的探矿权在转采矿权后需缴纳采矿权出让收益的应按规定缴纳。</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（三）矿产资源勘查有着不可预见的风险，本宗探矿权出让前期技术报告编制工作使用的技术依据中部分为类比参考，存在一定的不确定和不完整性因素，竞买申请人须自行承担风险。</w:t>
      </w:r>
    </w:p>
    <w:p>
      <w:pPr>
        <w:snapToGrid w:val="0"/>
        <w:spacing w:line="400" w:lineRule="exact"/>
        <w:jc w:val="right"/>
        <w:rPr>
          <w:rFonts w:asciiTheme="minorEastAsia" w:hAnsiTheme="minorEastAsia" w:cstheme="minorEastAsia"/>
          <w:color w:val="252525" w:themeColor="text1" w:themeTint="D9"/>
          <w:sz w:val="22"/>
        </w:rPr>
      </w:pPr>
    </w:p>
    <w:p>
      <w:pPr>
        <w:spacing w:line="400" w:lineRule="exact"/>
        <w:ind w:right="220" w:firstLine="440" w:firstLineChars="200"/>
        <w:jc w:val="right"/>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重庆市南川区规划和自然资源局</w:t>
      </w:r>
    </w:p>
    <w:p>
      <w:pPr>
        <w:spacing w:line="400" w:lineRule="exact"/>
        <w:ind w:right="440" w:firstLine="10890" w:firstLineChars="495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 xml:space="preserve"> 2025年3月14日</w:t>
      </w:r>
    </w:p>
    <w:p>
      <w:pPr>
        <w:spacing w:line="560" w:lineRule="exact"/>
        <w:rPr>
          <w:rFonts w:asciiTheme="minorEastAsia" w:hAnsiTheme="minorEastAsia" w:cstheme="minorEastAsia"/>
          <w:color w:val="252525" w:themeColor="text1" w:themeTint="D9"/>
          <w:sz w:val="22"/>
        </w:rPr>
      </w:pPr>
    </w:p>
    <w:sectPr>
      <w:footerReference r:id="rId3" w:type="default"/>
      <w:footerReference r:id="rId4" w:type="even"/>
      <w:pgSz w:w="16838" w:h="11906" w:orient="landscape"/>
      <w:pgMar w:top="1474" w:right="1701" w:bottom="1474" w:left="1701"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rPr>
                    <w:rFonts w:asciiTheme="minorEastAsia" w:hAnsiTheme="minorEastAsia" w:cstheme="minorEastAsia"/>
                    <w:sz w:val="28"/>
                    <w:szCs w:val="28"/>
                  </w:rPr>
                </w:pPr>
                <w:r>
                  <w:rPr>
                    <w:rFonts w:hint="eastAsia" w:asciiTheme="minorEastAsia" w:hAnsiTheme="minorEastAsia" w:cstheme="minorEastAsia"/>
                    <w:sz w:val="28"/>
                    <w:szCs w:val="28"/>
                  </w:rPr>
                  <w:t>—</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2</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BkNzVkNTQ2ZDBmNDgzNmVlYTU5MDkxZmUwYjcyYTIifQ=="/>
  </w:docVars>
  <w:rsids>
    <w:rsidRoot w:val="00C050DE"/>
    <w:rsid w:val="000342B0"/>
    <w:rsid w:val="00053D91"/>
    <w:rsid w:val="00093F78"/>
    <w:rsid w:val="001569D8"/>
    <w:rsid w:val="00180CAB"/>
    <w:rsid w:val="001A27CE"/>
    <w:rsid w:val="00202319"/>
    <w:rsid w:val="00233CB7"/>
    <w:rsid w:val="002C7FC4"/>
    <w:rsid w:val="002E1CDD"/>
    <w:rsid w:val="003305BB"/>
    <w:rsid w:val="00333C80"/>
    <w:rsid w:val="00396DF3"/>
    <w:rsid w:val="003E08A7"/>
    <w:rsid w:val="004E6334"/>
    <w:rsid w:val="00506E78"/>
    <w:rsid w:val="005A1358"/>
    <w:rsid w:val="005B6948"/>
    <w:rsid w:val="005B7EE5"/>
    <w:rsid w:val="00606C17"/>
    <w:rsid w:val="006F2390"/>
    <w:rsid w:val="00701F27"/>
    <w:rsid w:val="007A7AA8"/>
    <w:rsid w:val="007D32DA"/>
    <w:rsid w:val="00813E94"/>
    <w:rsid w:val="00832DD5"/>
    <w:rsid w:val="00920E82"/>
    <w:rsid w:val="009B30F7"/>
    <w:rsid w:val="009B77CC"/>
    <w:rsid w:val="009D58CD"/>
    <w:rsid w:val="009E483F"/>
    <w:rsid w:val="009F1770"/>
    <w:rsid w:val="00A168F6"/>
    <w:rsid w:val="00A262A9"/>
    <w:rsid w:val="00A3616D"/>
    <w:rsid w:val="00A95A59"/>
    <w:rsid w:val="00AA14E4"/>
    <w:rsid w:val="00AC3A4C"/>
    <w:rsid w:val="00AF04AB"/>
    <w:rsid w:val="00AF2E82"/>
    <w:rsid w:val="00B2037D"/>
    <w:rsid w:val="00B7608E"/>
    <w:rsid w:val="00BC21D6"/>
    <w:rsid w:val="00C050DE"/>
    <w:rsid w:val="00CD30C0"/>
    <w:rsid w:val="00D339D2"/>
    <w:rsid w:val="00DB0B69"/>
    <w:rsid w:val="00DC78A5"/>
    <w:rsid w:val="00E237B6"/>
    <w:rsid w:val="00E326F7"/>
    <w:rsid w:val="00E60A2D"/>
    <w:rsid w:val="00E827C6"/>
    <w:rsid w:val="00EB1464"/>
    <w:rsid w:val="00F13745"/>
    <w:rsid w:val="00F55647"/>
    <w:rsid w:val="00F614DF"/>
    <w:rsid w:val="00F633AC"/>
    <w:rsid w:val="00FF4BF7"/>
    <w:rsid w:val="00FF5D06"/>
    <w:rsid w:val="010C3882"/>
    <w:rsid w:val="015A5410"/>
    <w:rsid w:val="0410153A"/>
    <w:rsid w:val="0E8A0F68"/>
    <w:rsid w:val="178F18B2"/>
    <w:rsid w:val="196B4509"/>
    <w:rsid w:val="196D078A"/>
    <w:rsid w:val="1C361910"/>
    <w:rsid w:val="1EA72953"/>
    <w:rsid w:val="22325614"/>
    <w:rsid w:val="247C4BC0"/>
    <w:rsid w:val="25D74E70"/>
    <w:rsid w:val="25EC6365"/>
    <w:rsid w:val="280A0AF0"/>
    <w:rsid w:val="2D012029"/>
    <w:rsid w:val="2FE14568"/>
    <w:rsid w:val="310703D7"/>
    <w:rsid w:val="34850397"/>
    <w:rsid w:val="35426BC8"/>
    <w:rsid w:val="35A340AA"/>
    <w:rsid w:val="3AC86D22"/>
    <w:rsid w:val="3B0D6B34"/>
    <w:rsid w:val="3CC10AE3"/>
    <w:rsid w:val="3F4B4533"/>
    <w:rsid w:val="461A062E"/>
    <w:rsid w:val="4DC5074E"/>
    <w:rsid w:val="4F477454"/>
    <w:rsid w:val="511F7071"/>
    <w:rsid w:val="51400C00"/>
    <w:rsid w:val="55AF01D2"/>
    <w:rsid w:val="5609242B"/>
    <w:rsid w:val="58FC03C6"/>
    <w:rsid w:val="595B667F"/>
    <w:rsid w:val="5CE33B85"/>
    <w:rsid w:val="60760DE1"/>
    <w:rsid w:val="6282181C"/>
    <w:rsid w:val="65090F9F"/>
    <w:rsid w:val="65CD2742"/>
    <w:rsid w:val="67055432"/>
    <w:rsid w:val="691F2DB9"/>
    <w:rsid w:val="6AD169F2"/>
    <w:rsid w:val="6F847E55"/>
    <w:rsid w:val="738F4DCE"/>
    <w:rsid w:val="74107662"/>
    <w:rsid w:val="74540AB2"/>
    <w:rsid w:val="762F4648"/>
    <w:rsid w:val="772E5405"/>
    <w:rsid w:val="7F5F46B9"/>
    <w:rsid w:val="7FFF3C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uppressAutoHyphens/>
      <w:spacing w:before="100" w:beforeAutospacing="1" w:after="100" w:afterAutospacing="1"/>
      <w:jc w:val="left"/>
    </w:pPr>
    <w:rPr>
      <w:rFonts w:ascii="Calibri" w:hAnsi="Calibri" w:eastAsia="宋体" w:cs="Times New Roman"/>
      <w:kern w:val="0"/>
      <w:sz w:val="24"/>
      <w:szCs w:val="24"/>
    </w:rPr>
  </w:style>
  <w:style w:type="character" w:styleId="9">
    <w:name w:val="page number"/>
    <w:basedOn w:val="8"/>
    <w:qFormat/>
    <w:uiPriority w:val="0"/>
  </w:style>
  <w:style w:type="character" w:customStyle="1" w:styleId="10">
    <w:name w:val="页眉 Char"/>
    <w:basedOn w:val="8"/>
    <w:link w:val="5"/>
    <w:qFormat/>
    <w:uiPriority w:val="0"/>
    <w:rPr>
      <w:rFonts w:asciiTheme="minorHAnsi" w:hAnsiTheme="minorHAnsi" w:eastAsiaTheme="minorEastAsia" w:cstheme="minorBidi"/>
      <w:kern w:val="2"/>
      <w:sz w:val="18"/>
      <w:szCs w:val="18"/>
    </w:rPr>
  </w:style>
  <w:style w:type="character" w:customStyle="1" w:styleId="11">
    <w:name w:val="批注框文本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4</Pages>
  <Words>407</Words>
  <Characters>2325</Characters>
  <Lines>19</Lines>
  <Paragraphs>5</Paragraphs>
  <TotalTime>65</TotalTime>
  <ScaleCrop>false</ScaleCrop>
  <LinksUpToDate>false</LinksUpToDate>
  <CharactersWithSpaces>2727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Administrator</cp:lastModifiedBy>
  <cp:lastPrinted>2025-03-12T07:29:42Z</cp:lastPrinted>
  <dcterms:modified xsi:type="dcterms:W3CDTF">2025-03-12T07:29:47Z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D2D2E47C00774D7DBE8A1E082B0B2FFE_13</vt:lpwstr>
  </property>
</Properties>
</file>