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方正小标宋_GBK" w:cs="Times New Roman"/>
          <w:color w:val="FF0000"/>
          <w:sz w:val="44"/>
          <w:szCs w:val="44"/>
          <w:u w:val="single"/>
        </w:rPr>
      </w:pPr>
      <w:r>
        <w:rPr>
          <w:rFonts w:hint="eastAsia" w:ascii="Times New Roman" w:hAnsi="Times New Roman" w:eastAsia="方正小标宋_GBK" w:cs="Times New Roman"/>
          <w:color w:val="FF0000"/>
          <w:sz w:val="44"/>
          <w:szCs w:val="44"/>
        </w:rPr>
        <w:t>探矿权出让成交确认书</w:t>
      </w:r>
    </w:p>
    <w:p>
      <w:pPr>
        <w:spacing w:beforeLines="50" w:afterLines="50"/>
        <w:jc w:val="center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i w:val="0"/>
          <w:sz w:val="32"/>
          <w:szCs w:val="32"/>
          <w:u w:val="none"/>
        </w:rPr>
        <w:t>南川区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矿探公出〔</w:t>
      </w:r>
      <w:r>
        <w:rPr>
          <w:rFonts w:ascii="Times New Roman" w:hAnsi="Times New Roman" w:eastAsia="方正仿宋_GBK" w:cs="Times New Roman"/>
          <w:sz w:val="32"/>
          <w:szCs w:val="32"/>
        </w:rPr>
        <w:t>20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25〕2号</w:t>
      </w:r>
    </w:p>
    <w:p>
      <w:pPr>
        <w:spacing w:line="600" w:lineRule="exact"/>
        <w:ind w:firstLine="632" w:firstLineChars="200"/>
        <w:rPr>
          <w:rFonts w:ascii="Times New Roman" w:hAnsi="Times New Roman" w:eastAsia="方正仿宋_GBK" w:cs="Times New Roman"/>
          <w:sz w:val="32"/>
          <w:szCs w:val="32"/>
          <w:u w:val="single"/>
        </w:rPr>
      </w:pPr>
      <w:r>
        <w:rPr>
          <w:rFonts w:ascii="Times New Roman" w:hAnsi="Times New Roman" w:eastAsia="方正仿宋_GBK" w:cs="Times New Roman"/>
          <w:i w:val="0"/>
          <w:w w:val="99"/>
          <w:sz w:val="32"/>
          <w:szCs w:val="32"/>
          <w:u w:val="none"/>
        </w:rPr>
        <w:t>20</w:t>
      </w:r>
      <w:r>
        <w:rPr>
          <w:rFonts w:hint="eastAsia" w:ascii="Times New Roman" w:hAnsi="Times New Roman" w:eastAsia="方正仿宋_GBK" w:cs="Times New Roman"/>
          <w:i w:val="0"/>
          <w:w w:val="99"/>
          <w:sz w:val="32"/>
          <w:szCs w:val="32"/>
          <w:u w:val="none"/>
          <w:lang w:val="en-US" w:eastAsia="zh-CN"/>
        </w:rPr>
        <w:t>25</w:t>
      </w:r>
      <w:r>
        <w:rPr>
          <w:rFonts w:hint="eastAsia" w:ascii="Times New Roman" w:hAnsi="Times New Roman" w:eastAsia="方正仿宋_GBK" w:cs="Times New Roman"/>
          <w:i w:val="0"/>
          <w:w w:val="99"/>
          <w:sz w:val="32"/>
          <w:szCs w:val="32"/>
          <w:u w:val="none"/>
        </w:rPr>
        <w:t>年</w:t>
      </w:r>
      <w:r>
        <w:rPr>
          <w:rFonts w:hint="eastAsia" w:ascii="Times New Roman" w:hAnsi="Times New Roman" w:eastAsia="方正仿宋_GBK" w:cs="Times New Roman"/>
          <w:i w:val="0"/>
          <w:w w:val="99"/>
          <w:sz w:val="32"/>
          <w:szCs w:val="32"/>
          <w:u w:val="none"/>
          <w:lang w:val="en-US" w:eastAsia="zh-CN"/>
        </w:rPr>
        <w:t xml:space="preserve"> </w:t>
      </w:r>
      <w:r>
        <w:rPr>
          <w:rFonts w:hint="eastAsia" w:ascii="Times New Roman" w:hAnsi="Times New Roman" w:eastAsia="方正仿宋_GBK" w:cs="Times New Roman"/>
          <w:i w:val="0"/>
          <w:w w:val="99"/>
          <w:sz w:val="32"/>
          <w:szCs w:val="32"/>
          <w:u w:val="none"/>
        </w:rPr>
        <w:t>月</w:t>
      </w:r>
      <w:r>
        <w:rPr>
          <w:rFonts w:hint="eastAsia" w:ascii="Times New Roman" w:hAnsi="Times New Roman" w:eastAsia="方正仿宋_GBK" w:cs="Times New Roman"/>
          <w:i w:val="0"/>
          <w:w w:val="99"/>
          <w:sz w:val="32"/>
          <w:szCs w:val="32"/>
          <w:u w:val="none"/>
          <w:lang w:val="en-US" w:eastAsia="zh-CN"/>
        </w:rPr>
        <w:t xml:space="preserve"> </w:t>
      </w:r>
      <w:r>
        <w:rPr>
          <w:rFonts w:hint="eastAsia" w:ascii="Times New Roman" w:hAnsi="Times New Roman" w:eastAsia="方正仿宋_GBK" w:cs="Times New Roman"/>
          <w:i w:val="0"/>
          <w:w w:val="99"/>
          <w:sz w:val="32"/>
          <w:szCs w:val="32"/>
          <w:u w:val="none"/>
        </w:rPr>
        <w:t>日，</w:t>
      </w:r>
      <w:r>
        <w:rPr>
          <w:rFonts w:hint="eastAsia" w:ascii="Times New Roman" w:hAnsi="Times New Roman" w:eastAsia="方正仿宋_GBK" w:cs="Times New Roman"/>
          <w:color w:val="auto"/>
          <w:w w:val="99"/>
          <w:sz w:val="32"/>
          <w:szCs w:val="32"/>
        </w:rPr>
        <w:t>重庆市公共资源交易中心</w:t>
      </w:r>
      <w:r>
        <w:rPr>
          <w:rFonts w:hint="eastAsia" w:ascii="Times New Roman" w:hAnsi="Times New Roman" w:eastAsia="方正仿宋_GBK" w:cs="Times New Roman"/>
          <w:w w:val="99"/>
          <w:sz w:val="32"/>
          <w:szCs w:val="32"/>
        </w:rPr>
        <w:t>在</w:t>
      </w:r>
      <w:r>
        <w:rPr>
          <w:rFonts w:hint="eastAsia" w:ascii="Times New Roman" w:hAnsi="Times New Roman" w:eastAsia="方正仿宋_GBK" w:cs="Times New Roman"/>
          <w:color w:val="auto"/>
          <w:w w:val="99"/>
          <w:sz w:val="32"/>
          <w:szCs w:val="32"/>
        </w:rPr>
        <w:t>重庆市渝北区青枫北路</w:t>
      </w:r>
      <w:r>
        <w:rPr>
          <w:rFonts w:ascii="Times New Roman" w:hAnsi="Times New Roman" w:eastAsia="方正仿宋_GBK" w:cs="Times New Roman"/>
          <w:color w:val="auto"/>
          <w:w w:val="99"/>
          <w:sz w:val="32"/>
          <w:szCs w:val="32"/>
        </w:rPr>
        <w:t>6</w:t>
      </w:r>
      <w:r>
        <w:rPr>
          <w:rFonts w:hint="eastAsia" w:ascii="Times New Roman" w:hAnsi="Times New Roman" w:eastAsia="方正仿宋_GBK" w:cs="Times New Roman"/>
          <w:color w:val="auto"/>
          <w:w w:val="99"/>
          <w:sz w:val="32"/>
          <w:szCs w:val="32"/>
        </w:rPr>
        <w:t>号渝兴广场</w:t>
      </w:r>
      <w:r>
        <w:rPr>
          <w:rFonts w:ascii="Times New Roman" w:hAnsi="Times New Roman" w:eastAsia="方正仿宋_GBK" w:cs="Times New Roman"/>
          <w:color w:val="auto"/>
          <w:w w:val="99"/>
          <w:sz w:val="32"/>
          <w:szCs w:val="32"/>
        </w:rPr>
        <w:t>B9</w:t>
      </w:r>
      <w:r>
        <w:rPr>
          <w:rFonts w:hint="eastAsia" w:ascii="Times New Roman" w:hAnsi="Times New Roman" w:eastAsia="方正仿宋_GBK" w:cs="Times New Roman"/>
          <w:color w:val="auto"/>
          <w:w w:val="99"/>
          <w:sz w:val="32"/>
          <w:szCs w:val="32"/>
        </w:rPr>
        <w:t>、</w:t>
      </w:r>
      <w:r>
        <w:rPr>
          <w:rFonts w:ascii="Times New Roman" w:hAnsi="Times New Roman" w:eastAsia="方正仿宋_GBK" w:cs="Times New Roman"/>
          <w:color w:val="auto"/>
          <w:w w:val="99"/>
          <w:sz w:val="32"/>
          <w:szCs w:val="32"/>
        </w:rPr>
        <w:t>B10</w:t>
      </w:r>
      <w:r>
        <w:rPr>
          <w:rFonts w:hint="eastAsia" w:ascii="Times New Roman" w:hAnsi="Times New Roman" w:eastAsia="方正仿宋_GBK" w:cs="Times New Roman"/>
          <w:color w:val="auto"/>
          <w:w w:val="99"/>
          <w:sz w:val="32"/>
          <w:szCs w:val="32"/>
        </w:rPr>
        <w:t>栋</w:t>
      </w:r>
      <w:r>
        <w:rPr>
          <w:rFonts w:hint="eastAsia" w:ascii="Times New Roman" w:hAnsi="Times New Roman" w:eastAsia="方正仿宋_GBK" w:cs="Times New Roman"/>
          <w:i w:val="0"/>
          <w:w w:val="99"/>
          <w:sz w:val="32"/>
          <w:szCs w:val="32"/>
          <w:u w:val="none"/>
        </w:rPr>
        <w:t>）举办的探矿权</w:t>
      </w:r>
      <w:r>
        <w:rPr>
          <w:rFonts w:hint="eastAsia" w:ascii="Times New Roman" w:hAnsi="Times New Roman" w:eastAsia="方正仿宋_GBK" w:cs="Times New Roman"/>
          <w:i w:val="0"/>
          <w:w w:val="99"/>
          <w:sz w:val="32"/>
          <w:szCs w:val="32"/>
          <w:highlight w:val="none"/>
          <w:u w:val="none"/>
        </w:rPr>
        <w:t>拍卖</w:t>
      </w:r>
      <w:r>
        <w:rPr>
          <w:rFonts w:hint="eastAsia" w:ascii="Times New Roman" w:hAnsi="Times New Roman" w:eastAsia="方正仿宋_GBK" w:cs="Times New Roman"/>
          <w:w w:val="99"/>
          <w:sz w:val="32"/>
          <w:szCs w:val="32"/>
        </w:rPr>
        <w:t>出让活动中，由（竞得人名称）获得</w:t>
      </w:r>
      <w:r>
        <w:rPr>
          <w:rFonts w:hint="eastAsia" w:ascii="Times New Roman" w:hAnsi="Times New Roman" w:eastAsia="方正仿宋_GBK" w:cs="Times New Roman"/>
          <w:bCs w:val="0"/>
          <w:color w:val="auto"/>
          <w:w w:val="99"/>
          <w:sz w:val="32"/>
          <w:szCs w:val="32"/>
        </w:rPr>
        <w:t>南川区南城街道石林居委三社地热勘查</w:t>
      </w:r>
      <w:r>
        <w:rPr>
          <w:rFonts w:hint="eastAsia" w:ascii="Times New Roman" w:hAnsi="Times New Roman" w:eastAsia="方正仿宋_GBK" w:cs="Times New Roman"/>
          <w:w w:val="99"/>
          <w:sz w:val="32"/>
          <w:szCs w:val="32"/>
        </w:rPr>
        <w:t>探矿权（公告序号：</w:t>
      </w:r>
      <w:r>
        <w:rPr>
          <w:rFonts w:ascii="Times New Roman" w:hAnsi="Times New Roman" w:eastAsia="方正仿宋_GBK" w:cs="Times New Roman"/>
          <w:w w:val="99"/>
          <w:sz w:val="32"/>
          <w:szCs w:val="32"/>
        </w:rPr>
        <w:t>NCGT20250</w:t>
      </w:r>
      <w:r>
        <w:rPr>
          <w:rFonts w:hint="eastAsia" w:ascii="Times New Roman" w:hAnsi="Times New Roman" w:eastAsia="方正仿宋_GBK" w:cs="Times New Roman"/>
          <w:w w:val="99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方正仿宋_GBK" w:cs="Times New Roman"/>
          <w:w w:val="99"/>
          <w:sz w:val="32"/>
          <w:szCs w:val="32"/>
        </w:rPr>
        <w:t>）。现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将相关事项确认如下。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一、出让探矿权基本情况：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  <w:u w:val="single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（一）探矿权名称（暂定名）：</w:t>
      </w:r>
      <w:r>
        <w:rPr>
          <w:rFonts w:ascii="Times New Roman" w:hAnsi="Times New Roman" w:eastAsia="方正仿宋_GBK" w:cs="Times New Roman"/>
          <w:color w:val="252525" w:themeColor="text1" w:themeTint="D9"/>
          <w:sz w:val="32"/>
          <w:szCs w:val="32"/>
          <w:u w:val="single"/>
        </w:rPr>
        <w:t>南川区南城街道石林居委三社地热勘查</w:t>
      </w:r>
      <w:r>
        <w:rPr>
          <w:rFonts w:hint="eastAsia" w:ascii="Times New Roman" w:hAnsi="Times New Roman" w:eastAsia="方正仿宋_GBK" w:cs="Times New Roman"/>
          <w:sz w:val="32"/>
          <w:szCs w:val="32"/>
          <w:u w:val="single"/>
        </w:rPr>
        <w:t>；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（二）地理位置：</w:t>
      </w:r>
      <w:r>
        <w:rPr>
          <w:rFonts w:ascii="Times New Roman" w:hAnsi="Times New Roman" w:eastAsia="方正仿宋_GBK" w:cs="Times New Roman"/>
          <w:color w:val="252525" w:themeColor="text1" w:themeTint="D9"/>
          <w:sz w:val="32"/>
          <w:szCs w:val="32"/>
          <w:u w:val="single"/>
        </w:rPr>
        <w:t>南川区南城街道石林居委三社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；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（三）勘查面积：</w:t>
      </w:r>
      <w:r>
        <w:rPr>
          <w:rFonts w:ascii="Times New Roman" w:hAnsi="Times New Roman" w:eastAsia="方正仿宋_GBK" w:cs="Times New Roman"/>
          <w:color w:val="252525" w:themeColor="text1" w:themeTint="D9"/>
          <w:sz w:val="32"/>
          <w:szCs w:val="32"/>
          <w:u w:val="single"/>
        </w:rPr>
        <w:t>1.08</w:t>
      </w:r>
      <w:r>
        <w:rPr>
          <w:rFonts w:hint="eastAsia" w:ascii="方正仿宋_GBK" w:hAnsi="宋体" w:eastAsia="方正仿宋_GBK" w:cs="宋体"/>
          <w:sz w:val="32"/>
          <w:u w:val="single"/>
        </w:rPr>
        <w:t>平方公里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；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（四）勘查阶段：</w:t>
      </w:r>
      <w:r>
        <w:rPr>
          <w:rFonts w:ascii="Times New Roman" w:hAnsi="Times New Roman" w:eastAsia="方正仿宋_GBK" w:cs="Times New Roman"/>
          <w:color w:val="252525" w:themeColor="text1" w:themeTint="D9"/>
          <w:sz w:val="32"/>
          <w:szCs w:val="32"/>
          <w:u w:val="single"/>
        </w:rPr>
        <w:t>详查阶段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；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（五）勘查矿种：</w:t>
      </w:r>
      <w:r>
        <w:rPr>
          <w:rFonts w:ascii="Times New Roman" w:hAnsi="Times New Roman" w:eastAsia="方正仿宋_GBK" w:cs="Times New Roman"/>
          <w:color w:val="252525" w:themeColor="text1" w:themeTint="D9"/>
          <w:sz w:val="32"/>
          <w:szCs w:val="32"/>
          <w:u w:val="single"/>
        </w:rPr>
        <w:t>地热</w:t>
      </w:r>
      <w:r>
        <w:rPr>
          <w:rFonts w:hint="eastAsia" w:ascii="宋体" w:hAnsi="宋体" w:eastAsia="宋体" w:cs="宋体"/>
          <w:sz w:val="32"/>
        </w:rPr>
        <w:t>；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（六）出让年限：</w:t>
      </w:r>
      <w:r>
        <w:rPr>
          <w:rFonts w:hint="eastAsia" w:ascii="Times New Roman" w:hAnsi="Times New Roman" w:eastAsia="方正仿宋_GBK" w:cs="Times New Roman"/>
          <w:sz w:val="32"/>
          <w:szCs w:val="32"/>
          <w:u w:val="single"/>
        </w:rPr>
        <w:t>5年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；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（七）矿区范围坐标（</w:t>
      </w:r>
      <w:r>
        <w:rPr>
          <w:rFonts w:ascii="Times New Roman" w:hAnsi="Times New Roman" w:eastAsia="方正仿宋_GBK" w:cs="Times New Roman"/>
          <w:sz w:val="32"/>
          <w:szCs w:val="32"/>
        </w:rPr>
        <w:t>2000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坐标系）：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6"/>
        <w:gridCol w:w="2796"/>
        <w:gridCol w:w="27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exact"/>
          <w:jc w:val="center"/>
        </w:trPr>
        <w:tc>
          <w:tcPr>
            <w:tcW w:w="159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</w:rPr>
              <w:t>序号</w:t>
            </w:r>
          </w:p>
        </w:tc>
        <w:tc>
          <w:tcPr>
            <w:tcW w:w="279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</w:rPr>
              <w:t>东经</w:t>
            </w:r>
          </w:p>
        </w:tc>
        <w:tc>
          <w:tcPr>
            <w:tcW w:w="279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</w:rPr>
              <w:t>北纬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1596" w:type="dxa"/>
            <w:vAlign w:val="center"/>
          </w:tcPr>
          <w:p>
            <w:pPr>
              <w:spacing w:line="360" w:lineRule="exact"/>
              <w:ind w:firstLine="560" w:firstLineChars="200"/>
              <w:rPr>
                <w:rFonts w:ascii="Times New Roman" w:hAnsi="Times New Roman" w:eastAsia="方正仿宋_GBK" w:cs="Times New Roman"/>
                <w:color w:val="252525" w:themeColor="text1" w:themeTint="D9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252525" w:themeColor="text1" w:themeTint="D9"/>
                <w:sz w:val="28"/>
                <w:szCs w:val="28"/>
              </w:rPr>
              <w:t>1</w:t>
            </w:r>
          </w:p>
        </w:tc>
        <w:tc>
          <w:tcPr>
            <w:tcW w:w="2796" w:type="dxa"/>
            <w:vAlign w:val="center"/>
          </w:tcPr>
          <w:p>
            <w:pPr>
              <w:spacing w:line="360" w:lineRule="exact"/>
              <w:ind w:firstLine="560" w:firstLineChars="200"/>
              <w:rPr>
                <w:rFonts w:ascii="Times New Roman" w:hAnsi="Times New Roman" w:eastAsia="方正仿宋_GBK" w:cs="Times New Roman"/>
                <w:color w:val="252525" w:themeColor="text1" w:themeTint="D9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252525" w:themeColor="text1" w:themeTint="D9"/>
                <w:sz w:val="28"/>
                <w:szCs w:val="28"/>
              </w:rPr>
              <w:t>107°03'27.371"</w:t>
            </w:r>
          </w:p>
        </w:tc>
        <w:tc>
          <w:tcPr>
            <w:tcW w:w="2796" w:type="dxa"/>
            <w:vAlign w:val="center"/>
          </w:tcPr>
          <w:p>
            <w:pPr>
              <w:spacing w:line="360" w:lineRule="exact"/>
              <w:ind w:firstLine="560" w:firstLineChars="200"/>
              <w:rPr>
                <w:rFonts w:ascii="Times New Roman" w:hAnsi="Times New Roman" w:eastAsia="方正仿宋_GBK" w:cs="Times New Roman"/>
                <w:color w:val="252525" w:themeColor="text1" w:themeTint="D9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252525" w:themeColor="text1" w:themeTint="D9"/>
                <w:sz w:val="28"/>
                <w:szCs w:val="28"/>
              </w:rPr>
              <w:t>29°04'47.757"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1596" w:type="dxa"/>
            <w:vAlign w:val="center"/>
          </w:tcPr>
          <w:p>
            <w:pPr>
              <w:spacing w:line="360" w:lineRule="exact"/>
              <w:ind w:firstLine="560" w:firstLineChars="200"/>
              <w:rPr>
                <w:rFonts w:ascii="Times New Roman" w:hAnsi="Times New Roman" w:eastAsia="方正仿宋_GBK" w:cs="Times New Roman"/>
                <w:color w:val="252525" w:themeColor="text1" w:themeTint="D9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252525" w:themeColor="text1" w:themeTint="D9"/>
                <w:sz w:val="28"/>
                <w:szCs w:val="28"/>
              </w:rPr>
              <w:t>2</w:t>
            </w:r>
          </w:p>
        </w:tc>
        <w:tc>
          <w:tcPr>
            <w:tcW w:w="2796" w:type="dxa"/>
            <w:vAlign w:val="center"/>
          </w:tcPr>
          <w:p>
            <w:pPr>
              <w:spacing w:line="360" w:lineRule="exact"/>
              <w:ind w:firstLine="560" w:firstLineChars="200"/>
              <w:rPr>
                <w:rFonts w:ascii="Times New Roman" w:hAnsi="Times New Roman" w:eastAsia="方正仿宋_GBK" w:cs="Times New Roman"/>
                <w:color w:val="252525" w:themeColor="text1" w:themeTint="D9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252525" w:themeColor="text1" w:themeTint="D9"/>
                <w:sz w:val="28"/>
                <w:szCs w:val="28"/>
              </w:rPr>
              <w:t>107°04'06.061"</w:t>
            </w:r>
          </w:p>
        </w:tc>
        <w:tc>
          <w:tcPr>
            <w:tcW w:w="2796" w:type="dxa"/>
            <w:vAlign w:val="center"/>
          </w:tcPr>
          <w:p>
            <w:pPr>
              <w:spacing w:line="360" w:lineRule="exact"/>
              <w:ind w:firstLine="560" w:firstLineChars="200"/>
              <w:rPr>
                <w:rFonts w:ascii="Times New Roman" w:hAnsi="Times New Roman" w:eastAsia="方正仿宋_GBK" w:cs="Times New Roman"/>
                <w:color w:val="252525" w:themeColor="text1" w:themeTint="D9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252525" w:themeColor="text1" w:themeTint="D9"/>
                <w:sz w:val="28"/>
                <w:szCs w:val="28"/>
              </w:rPr>
              <w:t>29°04'45.155"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1596" w:type="dxa"/>
            <w:vAlign w:val="center"/>
          </w:tcPr>
          <w:p>
            <w:pPr>
              <w:spacing w:line="360" w:lineRule="exact"/>
              <w:ind w:firstLine="560" w:firstLineChars="200"/>
              <w:rPr>
                <w:rFonts w:ascii="Times New Roman" w:hAnsi="Times New Roman" w:eastAsia="方正仿宋_GBK" w:cs="Times New Roman"/>
                <w:color w:val="252525" w:themeColor="text1" w:themeTint="D9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252525" w:themeColor="text1" w:themeTint="D9"/>
                <w:sz w:val="28"/>
                <w:szCs w:val="28"/>
              </w:rPr>
              <w:t>3</w:t>
            </w:r>
          </w:p>
        </w:tc>
        <w:tc>
          <w:tcPr>
            <w:tcW w:w="2796" w:type="dxa"/>
            <w:vAlign w:val="center"/>
          </w:tcPr>
          <w:p>
            <w:pPr>
              <w:spacing w:line="360" w:lineRule="exact"/>
              <w:ind w:firstLine="560" w:firstLineChars="200"/>
              <w:rPr>
                <w:rFonts w:ascii="Times New Roman" w:hAnsi="Times New Roman" w:eastAsia="方正仿宋_GBK" w:cs="Times New Roman"/>
                <w:color w:val="252525" w:themeColor="text1" w:themeTint="D9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252525" w:themeColor="text1" w:themeTint="D9"/>
                <w:sz w:val="28"/>
                <w:szCs w:val="28"/>
              </w:rPr>
              <w:t>107°04'03.129"</w:t>
            </w:r>
          </w:p>
        </w:tc>
        <w:tc>
          <w:tcPr>
            <w:tcW w:w="2796" w:type="dxa"/>
            <w:vAlign w:val="center"/>
          </w:tcPr>
          <w:p>
            <w:pPr>
              <w:spacing w:line="360" w:lineRule="exact"/>
              <w:ind w:firstLine="560" w:firstLineChars="200"/>
              <w:rPr>
                <w:rFonts w:ascii="Times New Roman" w:hAnsi="Times New Roman" w:eastAsia="方正仿宋_GBK" w:cs="Times New Roman"/>
                <w:color w:val="252525" w:themeColor="text1" w:themeTint="D9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252525" w:themeColor="text1" w:themeTint="D9"/>
                <w:sz w:val="28"/>
                <w:szCs w:val="28"/>
              </w:rPr>
              <w:t>29°04'11.815"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1596" w:type="dxa"/>
            <w:vAlign w:val="center"/>
          </w:tcPr>
          <w:p>
            <w:pPr>
              <w:spacing w:line="360" w:lineRule="exact"/>
              <w:ind w:firstLine="560" w:firstLineChars="200"/>
              <w:rPr>
                <w:rFonts w:ascii="Times New Roman" w:hAnsi="Times New Roman" w:eastAsia="方正仿宋_GBK" w:cs="Times New Roman"/>
                <w:color w:val="252525" w:themeColor="text1" w:themeTint="D9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252525" w:themeColor="text1" w:themeTint="D9"/>
                <w:sz w:val="28"/>
                <w:szCs w:val="28"/>
              </w:rPr>
              <w:t>4</w:t>
            </w:r>
          </w:p>
        </w:tc>
        <w:tc>
          <w:tcPr>
            <w:tcW w:w="2796" w:type="dxa"/>
            <w:vAlign w:val="center"/>
          </w:tcPr>
          <w:p>
            <w:pPr>
              <w:spacing w:line="360" w:lineRule="exact"/>
              <w:ind w:firstLine="560" w:firstLineChars="200"/>
              <w:rPr>
                <w:rFonts w:ascii="Times New Roman" w:hAnsi="Times New Roman" w:eastAsia="方正仿宋_GBK" w:cs="Times New Roman"/>
                <w:color w:val="252525" w:themeColor="text1" w:themeTint="D9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252525" w:themeColor="text1" w:themeTint="D9"/>
                <w:sz w:val="28"/>
                <w:szCs w:val="28"/>
              </w:rPr>
              <w:t>107°03'24.790"</w:t>
            </w:r>
          </w:p>
        </w:tc>
        <w:tc>
          <w:tcPr>
            <w:tcW w:w="2796" w:type="dxa"/>
            <w:vAlign w:val="center"/>
          </w:tcPr>
          <w:p>
            <w:pPr>
              <w:spacing w:line="360" w:lineRule="exact"/>
              <w:ind w:firstLine="560" w:firstLineChars="200"/>
              <w:rPr>
                <w:rFonts w:ascii="Times New Roman" w:hAnsi="Times New Roman" w:eastAsia="方正仿宋_GBK" w:cs="Times New Roman"/>
                <w:color w:val="252525" w:themeColor="text1" w:themeTint="D9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252525" w:themeColor="text1" w:themeTint="D9"/>
                <w:sz w:val="28"/>
                <w:szCs w:val="28"/>
              </w:rPr>
              <w:t>29°04'13.982"</w:t>
            </w:r>
          </w:p>
        </w:tc>
      </w:tr>
    </w:tbl>
    <w:p>
      <w:pPr>
        <w:spacing w:beforeLines="50" w:line="600" w:lineRule="exact"/>
        <w:ind w:firstLine="707" w:firstLineChars="220"/>
        <w:rPr>
          <w:rFonts w:ascii="Times New Roman" w:hAnsi="Times New Roman" w:eastAsia="方正仿宋_GBK" w:cs="Times New Roman"/>
          <w:b/>
          <w:bCs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b/>
          <w:bCs/>
          <w:sz w:val="32"/>
          <w:szCs w:val="32"/>
        </w:rPr>
        <w:t>二、交易双方基本情况</w:t>
      </w:r>
    </w:p>
    <w:p>
      <w:pPr>
        <w:snapToGrid w:val="0"/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（一）出让人：</w:t>
      </w:r>
      <w:r>
        <w:rPr>
          <w:rFonts w:ascii="Times New Roman" w:hAnsi="Times New Roman" w:eastAsia="方正仿宋_GBK" w:cs="Times New Roman"/>
          <w:color w:val="252525" w:themeColor="text1" w:themeTint="D9"/>
          <w:kern w:val="0"/>
          <w:sz w:val="32"/>
          <w:szCs w:val="32"/>
          <w:u w:val="single"/>
        </w:rPr>
        <w:t>南川区规划和自然资源局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，</w:t>
      </w:r>
    </w:p>
    <w:p>
      <w:pPr>
        <w:snapToGrid w:val="0"/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  <w:u w:val="single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住所：</w:t>
      </w:r>
      <w:r>
        <w:rPr>
          <w:rFonts w:ascii="Times New Roman" w:hAnsi="Times New Roman" w:eastAsia="方正仿宋_GBK" w:cs="Times New Roman"/>
          <w:color w:val="252525" w:themeColor="text1" w:themeTint="D9"/>
          <w:kern w:val="0"/>
          <w:sz w:val="32"/>
          <w:szCs w:val="32"/>
          <w:u w:val="single"/>
        </w:rPr>
        <w:t>南川区南大街89号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。</w:t>
      </w:r>
    </w:p>
    <w:p>
      <w:pPr>
        <w:snapToGrid w:val="0"/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（二）竞得人：</w:t>
      </w:r>
      <w:r>
        <w:rPr>
          <w:rFonts w:hint="eastAsia" w:ascii="宋体" w:hAnsi="宋体" w:eastAsia="宋体" w:cs="宋体"/>
          <w:sz w:val="32"/>
        </w:rPr>
        <w:t>；</w:t>
      </w:r>
    </w:p>
    <w:p>
      <w:pPr>
        <w:snapToGrid w:val="0"/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住所：。</w:t>
      </w:r>
    </w:p>
    <w:p>
      <w:pPr>
        <w:snapToGrid w:val="0"/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三、该宗探矿权出让收益成交价为人民币小写元（大写：）；出让收益率 （仅用于出让收益率征收的矿种）。</w:t>
      </w:r>
    </w:p>
    <w:p>
      <w:pPr>
        <w:snapToGrid w:val="0"/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  <w:u w:val="single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四、</w:t>
      </w:r>
      <w:r>
        <w:rPr>
          <w:rFonts w:hint="eastAsia" w:ascii="Times New Roman" w:hAnsi="Times New Roman" w:eastAsia="方正仿宋_GBK" w:cs="Times New Roman"/>
          <w:sz w:val="32"/>
          <w:szCs w:val="32"/>
          <w:u w:val="single"/>
        </w:rPr>
        <w:t>竞得人应在取得成交确认书后的</w:t>
      </w:r>
      <w:r>
        <w:rPr>
          <w:rFonts w:ascii="Times New Roman" w:hAnsi="Times New Roman" w:eastAsia="方正仿宋_GBK" w:cs="Times New Roman"/>
          <w:sz w:val="32"/>
          <w:szCs w:val="32"/>
          <w:u w:val="single"/>
        </w:rPr>
        <w:t>15</w:t>
      </w:r>
      <w:r>
        <w:rPr>
          <w:rFonts w:hint="eastAsia" w:ascii="Times New Roman" w:hAnsi="Times New Roman" w:eastAsia="方正仿宋_GBK" w:cs="Times New Roman"/>
          <w:sz w:val="32"/>
          <w:szCs w:val="32"/>
          <w:u w:val="single"/>
        </w:rPr>
        <w:t>个工作日内，持成交确认书、合同签订申请书及其他相关资料向出让人申请签订《重庆市探矿权出让合同》。成交结果公示期满无异议的，竞得人应于年月日（取得成交确认书后的</w:t>
      </w:r>
      <w:r>
        <w:rPr>
          <w:rFonts w:ascii="Times New Roman" w:hAnsi="Times New Roman" w:eastAsia="方正仿宋_GBK" w:cs="Times New Roman"/>
          <w:sz w:val="32"/>
          <w:szCs w:val="32"/>
          <w:u w:val="single"/>
        </w:rPr>
        <w:t>30</w:t>
      </w:r>
      <w:r>
        <w:rPr>
          <w:rFonts w:hint="eastAsia" w:ascii="Times New Roman" w:hAnsi="Times New Roman" w:eastAsia="方正仿宋_GBK" w:cs="Times New Roman"/>
          <w:sz w:val="32"/>
          <w:szCs w:val="32"/>
          <w:u w:val="single"/>
        </w:rPr>
        <w:t>个工作日内）与出让人完成合同签订。若逾期未申请或拒不完成合同签订的，则视为竞得人自动放弃竞得资格，出让人不予退还竞买保证金并有权另行出让该宗探矿权</w:t>
      </w:r>
    </w:p>
    <w:p>
      <w:pPr>
        <w:snapToGrid w:val="0"/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五、本成交确认书一式四份，双方各持两份，签字盖章后生效。</w:t>
      </w:r>
    </w:p>
    <w:p>
      <w:pPr>
        <w:snapToGrid w:val="0"/>
        <w:spacing w:line="600" w:lineRule="exac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napToGrid w:val="0"/>
        <w:spacing w:line="60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交易平台：                          竞得人：</w:t>
      </w:r>
    </w:p>
    <w:p>
      <w:pPr>
        <w:snapToGrid w:val="0"/>
        <w:spacing w:line="600" w:lineRule="exact"/>
        <w:ind w:firstLine="1596" w:firstLineChars="499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napToGrid w:val="0"/>
        <w:spacing w:line="60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法定代表人（受托人）：</w:t>
      </w:r>
    </w:p>
    <w:p>
      <w:pPr>
        <w:snapToGrid w:val="0"/>
        <w:spacing w:line="600" w:lineRule="exact"/>
        <w:ind w:firstLine="1596" w:firstLineChars="499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600" w:lineRule="exact"/>
        <w:ind w:right="1260" w:rightChars="600"/>
        <w:jc w:val="righ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UzNjc4NWM0NWVmMTMyOTI5Yzg0Y2E0NDE1MmVkYzAifQ=="/>
  </w:docVars>
  <w:rsids>
    <w:rsidRoot w:val="005842F2"/>
    <w:rsid w:val="00006332"/>
    <w:rsid w:val="00012632"/>
    <w:rsid w:val="0002355A"/>
    <w:rsid w:val="000A4734"/>
    <w:rsid w:val="000D4A1D"/>
    <w:rsid w:val="000D5692"/>
    <w:rsid w:val="000E0B84"/>
    <w:rsid w:val="000E2120"/>
    <w:rsid w:val="000E4B06"/>
    <w:rsid w:val="000F7E83"/>
    <w:rsid w:val="00120D76"/>
    <w:rsid w:val="0013278C"/>
    <w:rsid w:val="001577C2"/>
    <w:rsid w:val="0016311A"/>
    <w:rsid w:val="001C594B"/>
    <w:rsid w:val="001C760F"/>
    <w:rsid w:val="001F0D4A"/>
    <w:rsid w:val="00226CD3"/>
    <w:rsid w:val="002724A1"/>
    <w:rsid w:val="002772D8"/>
    <w:rsid w:val="00284DBE"/>
    <w:rsid w:val="002959C8"/>
    <w:rsid w:val="002A6DC1"/>
    <w:rsid w:val="002B50CE"/>
    <w:rsid w:val="002C2699"/>
    <w:rsid w:val="0030584E"/>
    <w:rsid w:val="00316A30"/>
    <w:rsid w:val="003958CB"/>
    <w:rsid w:val="003B5834"/>
    <w:rsid w:val="003E1992"/>
    <w:rsid w:val="00422465"/>
    <w:rsid w:val="00427D8E"/>
    <w:rsid w:val="00481D66"/>
    <w:rsid w:val="00491E7C"/>
    <w:rsid w:val="004B020E"/>
    <w:rsid w:val="004B698A"/>
    <w:rsid w:val="004C4D2D"/>
    <w:rsid w:val="004E704E"/>
    <w:rsid w:val="005842F2"/>
    <w:rsid w:val="005C193E"/>
    <w:rsid w:val="005D684A"/>
    <w:rsid w:val="00630EE8"/>
    <w:rsid w:val="00653A6D"/>
    <w:rsid w:val="0065780D"/>
    <w:rsid w:val="00657CC8"/>
    <w:rsid w:val="006B71BC"/>
    <w:rsid w:val="006C1C31"/>
    <w:rsid w:val="006F3D99"/>
    <w:rsid w:val="00726AA9"/>
    <w:rsid w:val="0078698B"/>
    <w:rsid w:val="007935A0"/>
    <w:rsid w:val="00804A99"/>
    <w:rsid w:val="008107BF"/>
    <w:rsid w:val="00817740"/>
    <w:rsid w:val="008621F6"/>
    <w:rsid w:val="00880D83"/>
    <w:rsid w:val="00884413"/>
    <w:rsid w:val="00896F51"/>
    <w:rsid w:val="008A2FD2"/>
    <w:rsid w:val="008C3AAC"/>
    <w:rsid w:val="008D281F"/>
    <w:rsid w:val="008E06A6"/>
    <w:rsid w:val="009071FE"/>
    <w:rsid w:val="0091367E"/>
    <w:rsid w:val="00937C0D"/>
    <w:rsid w:val="009416BF"/>
    <w:rsid w:val="00956C22"/>
    <w:rsid w:val="0095740F"/>
    <w:rsid w:val="009658B9"/>
    <w:rsid w:val="00996647"/>
    <w:rsid w:val="009B6741"/>
    <w:rsid w:val="009C35C6"/>
    <w:rsid w:val="009D5DFD"/>
    <w:rsid w:val="00A0711C"/>
    <w:rsid w:val="00A37E50"/>
    <w:rsid w:val="00A770A2"/>
    <w:rsid w:val="00AD2881"/>
    <w:rsid w:val="00AE1059"/>
    <w:rsid w:val="00AE22E8"/>
    <w:rsid w:val="00B24518"/>
    <w:rsid w:val="00B308A7"/>
    <w:rsid w:val="00B67563"/>
    <w:rsid w:val="00B877DE"/>
    <w:rsid w:val="00B94A7F"/>
    <w:rsid w:val="00BB45B6"/>
    <w:rsid w:val="00BC76FA"/>
    <w:rsid w:val="00BD423A"/>
    <w:rsid w:val="00BF2C86"/>
    <w:rsid w:val="00BF6B1B"/>
    <w:rsid w:val="00C35549"/>
    <w:rsid w:val="00C47789"/>
    <w:rsid w:val="00C609C9"/>
    <w:rsid w:val="00C6470D"/>
    <w:rsid w:val="00C9012A"/>
    <w:rsid w:val="00D35E7D"/>
    <w:rsid w:val="00D84B57"/>
    <w:rsid w:val="00D95C33"/>
    <w:rsid w:val="00DF1445"/>
    <w:rsid w:val="00E0410C"/>
    <w:rsid w:val="00E04EA3"/>
    <w:rsid w:val="00E74CB9"/>
    <w:rsid w:val="00E85B8A"/>
    <w:rsid w:val="00EB3DFC"/>
    <w:rsid w:val="00EF1A4C"/>
    <w:rsid w:val="00F021A4"/>
    <w:rsid w:val="00F0464E"/>
    <w:rsid w:val="00F21D1F"/>
    <w:rsid w:val="00F615DA"/>
    <w:rsid w:val="00F64D29"/>
    <w:rsid w:val="00F73007"/>
    <w:rsid w:val="00F94D9F"/>
    <w:rsid w:val="00FB1CFB"/>
    <w:rsid w:val="16EA3AE8"/>
    <w:rsid w:val="1BB72495"/>
    <w:rsid w:val="2A9B0E01"/>
    <w:rsid w:val="3341684F"/>
    <w:rsid w:val="364E0760"/>
    <w:rsid w:val="3705201C"/>
    <w:rsid w:val="38C6457F"/>
    <w:rsid w:val="48B64B42"/>
    <w:rsid w:val="4A252237"/>
    <w:rsid w:val="733C4E67"/>
    <w:rsid w:val="7D475D1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2</Pages>
  <Words>122</Words>
  <Characters>700</Characters>
  <Lines>5</Lines>
  <Paragraphs>1</Paragraphs>
  <TotalTime>1</TotalTime>
  <ScaleCrop>false</ScaleCrop>
  <LinksUpToDate>false</LinksUpToDate>
  <CharactersWithSpaces>821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2023-02-15T02:11:00Z</dcterms:created>
  <dc:creator>国土资源</dc:creator>
  <cp:lastModifiedBy>Administrator</cp:lastModifiedBy>
  <cp:lastPrinted>2025-04-24T02:17:00Z</cp:lastPrinted>
  <dcterms:modified xsi:type="dcterms:W3CDTF">2025-04-24T08:53:25Z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3F82F2483C0D4EE68E76836AC82CF083</vt:lpwstr>
  </property>
</Properties>
</file>