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方正小标宋_GBK"/>
          <w:color w:val="FF0000"/>
          <w:sz w:val="44"/>
          <w:szCs w:val="44"/>
          <w:u w:val="single"/>
        </w:rPr>
      </w:pPr>
      <w:r>
        <w:rPr>
          <w:rFonts w:hint="eastAsia" w:ascii="Times New Roman" w:hAnsi="Times New Roman" w:eastAsia="方正小标宋_GBK"/>
          <w:color w:val="FF0000"/>
          <w:sz w:val="44"/>
          <w:szCs w:val="44"/>
        </w:rPr>
        <w:t>探矿权出让成交确认书</w:t>
      </w:r>
    </w:p>
    <w:p>
      <w:pPr>
        <w:spacing w:beforeLines="50" w:afterLines="50"/>
        <w:jc w:val="center"/>
        <w:rPr>
          <w:rFonts w:ascii="Times New Roman" w:hAnsi="Times New Roman" w:eastAsia="方正仿宋_GBK"/>
          <w:sz w:val="32"/>
          <w:szCs w:val="32"/>
        </w:rPr>
      </w:pPr>
      <w:r>
        <w:rPr>
          <w:rFonts w:hint="eastAsia" w:ascii="Times New Roman" w:hAnsi="Times New Roman" w:eastAsia="方正仿宋_GBK"/>
          <w:color w:val="000000"/>
          <w:sz w:val="32"/>
          <w:szCs w:val="32"/>
        </w:rPr>
        <w:t>渝</w:t>
      </w:r>
      <w:r>
        <w:rPr>
          <w:rFonts w:hint="eastAsia" w:ascii="Times New Roman" w:hAnsi="Times New Roman" w:eastAsia="方正仿宋_GBK"/>
          <w:sz w:val="32"/>
          <w:szCs w:val="32"/>
        </w:rPr>
        <w:t>矿探公出〔</w:t>
      </w:r>
      <w:r>
        <w:rPr>
          <w:rFonts w:ascii="Times New Roman" w:hAnsi="Times New Roman" w:eastAsia="方正仿宋_GBK"/>
          <w:sz w:val="32"/>
          <w:szCs w:val="32"/>
        </w:rPr>
        <w:t>2025</w:t>
      </w:r>
      <w:r>
        <w:rPr>
          <w:rFonts w:hint="eastAsia" w:ascii="Times New Roman" w:hAnsi="Times New Roman" w:eastAsia="方正仿宋_GBK"/>
          <w:sz w:val="32"/>
          <w:szCs w:val="32"/>
        </w:rPr>
        <w:t>〕</w:t>
      </w:r>
      <w:r>
        <w:rPr>
          <w:rFonts w:ascii="Times New Roman" w:hAnsi="Times New Roman" w:eastAsia="方正仿宋_GBK"/>
          <w:sz w:val="32"/>
          <w:szCs w:val="32"/>
        </w:rPr>
        <w:t xml:space="preserve"> </w:t>
      </w:r>
      <w:r>
        <w:rPr>
          <w:rFonts w:hint="eastAsia" w:ascii="Times New Roman" w:hAnsi="Times New Roman" w:eastAsia="方正仿宋_GBK"/>
          <w:sz w:val="32"/>
          <w:szCs w:val="32"/>
        </w:rPr>
        <w:t>号</w:t>
      </w:r>
    </w:p>
    <w:p>
      <w:pPr>
        <w:spacing w:line="600" w:lineRule="exact"/>
        <w:ind w:firstLine="640" w:firstLineChars="200"/>
        <w:rPr>
          <w:rFonts w:hint="eastAsia" w:ascii="方正仿宋_GBK" w:hAnsi="方正仿宋_GBK" w:eastAsia="方正仿宋_GBK" w:cs="方正仿宋_GBK"/>
          <w:i w:val="0"/>
          <w:iCs/>
          <w:sz w:val="32"/>
          <w:szCs w:val="32"/>
          <w:u w:val="none"/>
        </w:rPr>
      </w:pPr>
      <w:r>
        <w:rPr>
          <w:rFonts w:ascii="方正仿宋_GBK" w:hAnsi="方正仿宋_GBK" w:eastAsia="方正仿宋_GBK" w:cs="方正仿宋_GBK"/>
          <w:i w:val="0"/>
          <w:iCs/>
          <w:sz w:val="32"/>
          <w:szCs w:val="32"/>
          <w:u w:val="single"/>
        </w:rPr>
        <w:t>2025</w:t>
      </w:r>
      <w:r>
        <w:rPr>
          <w:rFonts w:hint="eastAsia" w:ascii="方正仿宋_GBK" w:hAnsi="方正仿宋_GBK" w:eastAsia="方正仿宋_GBK" w:cs="方正仿宋_GBK"/>
          <w:i w:val="0"/>
          <w:iCs/>
          <w:sz w:val="32"/>
          <w:szCs w:val="32"/>
          <w:u w:val="single"/>
        </w:rPr>
        <w:t>年</w:t>
      </w:r>
      <w:r>
        <w:rPr>
          <w:rFonts w:ascii="方正仿宋_GBK" w:hAnsi="方正仿宋_GBK" w:eastAsia="方正仿宋_GBK" w:cs="方正仿宋_GBK"/>
          <w:i w:val="0"/>
          <w:iCs/>
          <w:sz w:val="32"/>
          <w:szCs w:val="32"/>
          <w:u w:val="single"/>
        </w:rPr>
        <w:t>12</w:t>
      </w:r>
      <w:r>
        <w:rPr>
          <w:rFonts w:hint="eastAsia" w:ascii="方正仿宋_GBK" w:hAnsi="方正仿宋_GBK" w:eastAsia="方正仿宋_GBK" w:cs="方正仿宋_GBK"/>
          <w:i w:val="0"/>
          <w:iCs/>
          <w:sz w:val="32"/>
          <w:szCs w:val="32"/>
          <w:u w:val="single"/>
        </w:rPr>
        <w:t>月</w:t>
      </w:r>
      <w:r>
        <w:rPr>
          <w:rFonts w:ascii="方正仿宋_GBK" w:hAnsi="方正仿宋_GBK" w:eastAsia="方正仿宋_GBK" w:cs="方正仿宋_GBK"/>
          <w:i w:val="0"/>
          <w:iCs/>
          <w:sz w:val="32"/>
          <w:szCs w:val="32"/>
          <w:u w:val="single"/>
        </w:rPr>
        <w:t xml:space="preserve">  </w:t>
      </w:r>
      <w:r>
        <w:rPr>
          <w:rFonts w:hint="eastAsia" w:ascii="方正仿宋_GBK" w:hAnsi="方正仿宋_GBK" w:eastAsia="方正仿宋_GBK" w:cs="方正仿宋_GBK"/>
          <w:i w:val="0"/>
          <w:iCs/>
          <w:sz w:val="32"/>
          <w:szCs w:val="32"/>
          <w:u w:val="single"/>
        </w:rPr>
        <w:t>日</w:t>
      </w:r>
      <w:r>
        <w:rPr>
          <w:rFonts w:hint="eastAsia" w:ascii="方正仿宋_GBK" w:hAnsi="方正仿宋_GBK" w:eastAsia="方正仿宋_GBK" w:cs="方正仿宋_GBK"/>
          <w:i w:val="0"/>
          <w:iCs/>
          <w:sz w:val="32"/>
          <w:szCs w:val="32"/>
        </w:rPr>
        <w:t>，</w:t>
      </w:r>
      <w:r>
        <w:rPr>
          <w:rFonts w:hint="eastAsia" w:ascii="方正仿宋_GBK" w:hAnsi="方正仿宋_GBK" w:eastAsia="方正仿宋_GBK" w:cs="方正仿宋_GBK"/>
          <w:i w:val="0"/>
          <w:iCs/>
          <w:sz w:val="32"/>
          <w:szCs w:val="32"/>
          <w:u w:val="none"/>
        </w:rPr>
        <w:t>重庆市公共资源交易中心在重庆市国有建设用地使用权和矿业权交易系统举办的探矿权拍卖出让活动中，由（竞得人名称）获得城口县坪坝镇聚马坪制灰用灰岩详查探矿权（</w:t>
      </w:r>
      <w:r>
        <w:rPr>
          <w:rFonts w:hint="eastAsia" w:ascii="Times New Roman" w:hAnsi="Times New Roman" w:eastAsia="方正仿宋_GBK" w:cs="Times New Roman"/>
          <w:i w:val="0"/>
          <w:iCs/>
          <w:color w:val="000000"/>
          <w:w w:val="99"/>
          <w:sz w:val="32"/>
          <w:szCs w:val="32"/>
        </w:rPr>
        <w:t>公告序号：CKGT202502</w:t>
      </w:r>
      <w:r>
        <w:rPr>
          <w:rFonts w:hint="eastAsia" w:ascii="Times New Roman" w:hAnsi="Times New Roman" w:eastAsia="方正仿宋_GBK" w:cs="Times New Roman"/>
          <w:i w:val="0"/>
          <w:iCs/>
          <w:color w:val="000000"/>
          <w:w w:val="99"/>
          <w:sz w:val="32"/>
          <w:szCs w:val="32"/>
          <w:lang w:eastAsia="zh-CN"/>
        </w:rPr>
        <w:t>）</w:t>
      </w:r>
      <w:r>
        <w:rPr>
          <w:rFonts w:hint="eastAsia" w:ascii="方正仿宋_GBK" w:hAnsi="方正仿宋_GBK" w:eastAsia="方正仿宋_GBK" w:cs="方正仿宋_GBK"/>
          <w:i w:val="0"/>
          <w:iCs/>
          <w:sz w:val="32"/>
          <w:szCs w:val="32"/>
          <w:u w:val="none"/>
        </w:rPr>
        <w:t>。现将相关事项确认如下：</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一、出让探矿权基本情况：</w:t>
      </w:r>
    </w:p>
    <w:p>
      <w:pPr>
        <w:spacing w:line="600" w:lineRule="exact"/>
        <w:ind w:firstLine="640" w:firstLineChars="200"/>
        <w:rPr>
          <w:rFonts w:hint="eastAsia" w:ascii="方正仿宋_GBK" w:hAnsi="方正仿宋_GBK" w:eastAsia="方正仿宋_GBK" w:cs="方正仿宋_GBK"/>
          <w:i w:val="0"/>
          <w:iCs w:val="0"/>
          <w:sz w:val="32"/>
          <w:szCs w:val="32"/>
          <w:u w:val="none"/>
        </w:rPr>
      </w:pPr>
      <w:r>
        <w:rPr>
          <w:rFonts w:hint="eastAsia" w:ascii="方正仿宋_GBK" w:hAnsi="方正仿宋_GBK" w:eastAsia="方正仿宋_GBK" w:cs="方正仿宋_GBK"/>
          <w:sz w:val="32"/>
          <w:szCs w:val="32"/>
        </w:rPr>
        <w:t>（一）探矿权名称（暂定名）：</w:t>
      </w:r>
      <w:r>
        <w:rPr>
          <w:rFonts w:hint="eastAsia" w:ascii="方正仿宋_GBK" w:hAnsi="方正仿宋_GBK" w:eastAsia="方正仿宋_GBK" w:cs="方正仿宋_GBK"/>
          <w:i w:val="0"/>
          <w:iCs w:val="0"/>
          <w:sz w:val="32"/>
          <w:u w:val="none"/>
        </w:rPr>
        <w:t>城口县坪坝镇聚马坪制灰用灰岩详查</w:t>
      </w:r>
      <w:r>
        <w:rPr>
          <w:rFonts w:hint="eastAsia" w:ascii="方正仿宋_GBK" w:hAnsi="方正仿宋_GBK" w:eastAsia="方正仿宋_GBK" w:cs="方正仿宋_GBK"/>
          <w:i w:val="0"/>
          <w:iCs w:val="0"/>
          <w:sz w:val="32"/>
          <w:szCs w:val="32"/>
          <w:u w:val="none"/>
        </w:rPr>
        <w:t>；</w:t>
      </w:r>
    </w:p>
    <w:p>
      <w:pPr>
        <w:spacing w:line="600" w:lineRule="exact"/>
        <w:ind w:firstLine="640" w:firstLineChars="200"/>
        <w:rPr>
          <w:rFonts w:hint="eastAsia" w:ascii="方正仿宋_GBK" w:hAnsi="方正仿宋_GBK" w:eastAsia="方正仿宋_GBK" w:cs="方正仿宋_GBK"/>
          <w:i w:val="0"/>
          <w:iCs w:val="0"/>
          <w:sz w:val="32"/>
          <w:szCs w:val="32"/>
          <w:u w:val="none"/>
        </w:rPr>
      </w:pPr>
      <w:r>
        <w:rPr>
          <w:rFonts w:hint="eastAsia" w:ascii="方正仿宋_GBK" w:hAnsi="方正仿宋_GBK" w:eastAsia="方正仿宋_GBK" w:cs="方正仿宋_GBK"/>
          <w:i w:val="0"/>
          <w:iCs w:val="0"/>
          <w:sz w:val="32"/>
          <w:szCs w:val="32"/>
          <w:u w:val="none"/>
        </w:rPr>
        <w:t>（二）地理位置：城口县坪坝镇聚马村；</w:t>
      </w:r>
    </w:p>
    <w:p>
      <w:pPr>
        <w:spacing w:line="600" w:lineRule="exact"/>
        <w:ind w:firstLine="640" w:firstLineChars="200"/>
        <w:rPr>
          <w:rFonts w:hint="eastAsia" w:ascii="方正仿宋_GBK" w:hAnsi="方正仿宋_GBK" w:eastAsia="方正仿宋_GBK" w:cs="方正仿宋_GBK"/>
          <w:i w:val="0"/>
          <w:iCs w:val="0"/>
          <w:sz w:val="32"/>
          <w:szCs w:val="32"/>
          <w:u w:val="none"/>
        </w:rPr>
      </w:pPr>
      <w:r>
        <w:rPr>
          <w:rFonts w:hint="eastAsia" w:ascii="方正仿宋_GBK" w:hAnsi="方正仿宋_GBK" w:eastAsia="方正仿宋_GBK" w:cs="方正仿宋_GBK"/>
          <w:i w:val="0"/>
          <w:iCs w:val="0"/>
          <w:sz w:val="32"/>
          <w:szCs w:val="32"/>
          <w:u w:val="none"/>
        </w:rPr>
        <w:t>（三）勘查面积：0.6987平方公里；</w:t>
      </w:r>
    </w:p>
    <w:p>
      <w:pPr>
        <w:spacing w:line="600" w:lineRule="exact"/>
        <w:ind w:firstLine="640" w:firstLineChars="200"/>
        <w:rPr>
          <w:rFonts w:hint="eastAsia" w:ascii="方正仿宋_GBK" w:hAnsi="方正仿宋_GBK" w:eastAsia="方正仿宋_GBK" w:cs="方正仿宋_GBK"/>
          <w:i w:val="0"/>
          <w:iCs w:val="0"/>
          <w:sz w:val="32"/>
          <w:szCs w:val="32"/>
          <w:u w:val="none"/>
        </w:rPr>
      </w:pPr>
      <w:r>
        <w:rPr>
          <w:rFonts w:hint="eastAsia" w:ascii="方正仿宋_GBK" w:hAnsi="方正仿宋_GBK" w:eastAsia="方正仿宋_GBK" w:cs="方正仿宋_GBK"/>
          <w:i w:val="0"/>
          <w:iCs w:val="0"/>
          <w:sz w:val="32"/>
          <w:szCs w:val="32"/>
          <w:u w:val="none"/>
        </w:rPr>
        <w:t>（四）地质工作程度：</w:t>
      </w:r>
      <w:r>
        <w:rPr>
          <w:rFonts w:hint="eastAsia" w:ascii="方正仿宋_GBK" w:hAnsi="方正仿宋_GBK" w:eastAsia="方正仿宋_GBK" w:cs="方正仿宋_GBK"/>
          <w:i w:val="0"/>
          <w:iCs w:val="0"/>
          <w:sz w:val="32"/>
          <w:szCs w:val="32"/>
          <w:u w:val="none"/>
          <w:lang w:eastAsia="zh-CN"/>
        </w:rPr>
        <w:t>普查阶段</w:t>
      </w:r>
      <w:r>
        <w:rPr>
          <w:rFonts w:hint="eastAsia" w:ascii="方正仿宋_GBK" w:hAnsi="方正仿宋_GBK" w:eastAsia="方正仿宋_GBK" w:cs="方正仿宋_GBK"/>
          <w:i w:val="0"/>
          <w:iCs w:val="0"/>
          <w:sz w:val="32"/>
          <w:u w:val="none"/>
        </w:rPr>
        <w:t xml:space="preserve"> </w:t>
      </w:r>
      <w:r>
        <w:rPr>
          <w:rFonts w:hint="eastAsia" w:ascii="方正仿宋_GBK" w:hAnsi="方正仿宋_GBK" w:eastAsia="方正仿宋_GBK" w:cs="方正仿宋_GBK"/>
          <w:i w:val="0"/>
          <w:iCs w:val="0"/>
          <w:sz w:val="32"/>
          <w:szCs w:val="32"/>
          <w:u w:val="none"/>
        </w:rPr>
        <w:t>；</w:t>
      </w:r>
    </w:p>
    <w:p>
      <w:pPr>
        <w:spacing w:line="600" w:lineRule="exact"/>
        <w:ind w:firstLine="640" w:firstLineChars="200"/>
        <w:rPr>
          <w:rFonts w:hint="eastAsia" w:ascii="方正仿宋_GBK" w:hAnsi="方正仿宋_GBK" w:eastAsia="方正仿宋_GBK" w:cs="方正仿宋_GBK"/>
          <w:i w:val="0"/>
          <w:iCs w:val="0"/>
          <w:sz w:val="32"/>
          <w:szCs w:val="32"/>
          <w:u w:val="none"/>
        </w:rPr>
      </w:pPr>
      <w:r>
        <w:rPr>
          <w:rFonts w:hint="eastAsia" w:ascii="方正仿宋_GBK" w:hAnsi="方正仿宋_GBK" w:eastAsia="方正仿宋_GBK" w:cs="方正仿宋_GBK"/>
          <w:i w:val="0"/>
          <w:iCs w:val="0"/>
          <w:sz w:val="32"/>
          <w:szCs w:val="32"/>
          <w:u w:val="none"/>
        </w:rPr>
        <w:t>（五）勘查矿种：制灰用灰岩</w:t>
      </w:r>
      <w:r>
        <w:rPr>
          <w:rFonts w:hint="eastAsia" w:ascii="方正仿宋_GBK" w:hAnsi="方正仿宋_GBK" w:eastAsia="方正仿宋_GBK" w:cs="方正仿宋_GBK"/>
          <w:i w:val="0"/>
          <w:iCs w:val="0"/>
          <w:sz w:val="32"/>
          <w:u w:val="none"/>
        </w:rPr>
        <w:t xml:space="preserve">  ；</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i w:val="0"/>
          <w:iCs w:val="0"/>
          <w:sz w:val="32"/>
          <w:szCs w:val="32"/>
          <w:u w:val="none"/>
        </w:rPr>
        <w:t>（六）出让年限：</w:t>
      </w:r>
      <w:r>
        <w:rPr>
          <w:rFonts w:hint="eastAsia" w:ascii="方正仿宋_GBK" w:hAnsi="方正仿宋_GBK" w:eastAsia="方正仿宋_GBK" w:cs="方正仿宋_GBK"/>
          <w:i w:val="0"/>
          <w:iCs w:val="0"/>
          <w:sz w:val="32"/>
          <w:u w:val="none"/>
        </w:rPr>
        <w:t>5</w:t>
      </w:r>
      <w:r>
        <w:rPr>
          <w:rFonts w:hint="eastAsia" w:ascii="方正仿宋_GBK" w:hAnsi="方正仿宋_GBK" w:eastAsia="方正仿宋_GBK" w:cs="方正仿宋_GBK"/>
          <w:sz w:val="32"/>
          <w:szCs w:val="32"/>
        </w:rPr>
        <w:t>年；</w:t>
      </w:r>
    </w:p>
    <w:p>
      <w:pPr>
        <w:spacing w:line="6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（七）勘查范围坐标（</w:t>
      </w:r>
      <w:r>
        <w:rPr>
          <w:rFonts w:ascii="Times New Roman" w:hAnsi="Times New Roman" w:eastAsia="方正仿宋_GBK"/>
          <w:sz w:val="32"/>
          <w:szCs w:val="32"/>
        </w:rPr>
        <w:t>2000</w:t>
      </w:r>
      <w:r>
        <w:rPr>
          <w:rFonts w:hint="eastAsia" w:ascii="Times New Roman" w:hAnsi="Times New Roman" w:eastAsia="方正仿宋_GBK"/>
          <w:sz w:val="32"/>
          <w:szCs w:val="32"/>
        </w:rPr>
        <w:t>坐标系）：</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2796"/>
        <w:gridCol w:w="2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2" w:hRule="exact"/>
          <w:jc w:val="center"/>
        </w:trPr>
        <w:tc>
          <w:tcPr>
            <w:tcW w:w="1596" w:type="dxa"/>
            <w:vAlign w:val="center"/>
          </w:tcPr>
          <w:p>
            <w:pPr>
              <w:widowControl/>
              <w:adjustRightInd w:val="0"/>
              <w:snapToGrid w:val="0"/>
              <w:jc w:val="center"/>
              <w:textAlignment w:val="center"/>
              <w:rPr>
                <w:rFonts w:ascii="Times New Roman" w:hAnsi="Times New Roman" w:eastAsia="仿宋_GB2312"/>
                <w:kern w:val="0"/>
                <w:sz w:val="24"/>
              </w:rPr>
            </w:pPr>
            <w:r>
              <w:rPr>
                <w:rFonts w:hint="eastAsia" w:ascii="Times New Roman" w:hAnsi="Times New Roman" w:eastAsia="仿宋_GB2312"/>
                <w:kern w:val="0"/>
                <w:sz w:val="24"/>
              </w:rPr>
              <w:t>序号</w:t>
            </w:r>
          </w:p>
        </w:tc>
        <w:tc>
          <w:tcPr>
            <w:tcW w:w="2796" w:type="dxa"/>
            <w:vAlign w:val="center"/>
          </w:tcPr>
          <w:p>
            <w:pPr>
              <w:widowControl/>
              <w:adjustRightInd w:val="0"/>
              <w:snapToGrid w:val="0"/>
              <w:jc w:val="center"/>
              <w:textAlignment w:val="center"/>
              <w:rPr>
                <w:rFonts w:ascii="Times New Roman" w:hAnsi="Times New Roman" w:eastAsia="仿宋_GB2312"/>
                <w:kern w:val="0"/>
                <w:sz w:val="24"/>
              </w:rPr>
            </w:pPr>
            <w:r>
              <w:rPr>
                <w:rFonts w:hint="eastAsia" w:ascii="Times New Roman" w:hAnsi="Times New Roman" w:eastAsia="仿宋_GB2312"/>
                <w:kern w:val="0"/>
                <w:sz w:val="24"/>
              </w:rPr>
              <w:t>经度</w:t>
            </w:r>
          </w:p>
        </w:tc>
        <w:tc>
          <w:tcPr>
            <w:tcW w:w="2796" w:type="dxa"/>
            <w:vAlign w:val="center"/>
          </w:tcPr>
          <w:p>
            <w:pPr>
              <w:widowControl/>
              <w:adjustRightInd w:val="0"/>
              <w:snapToGrid w:val="0"/>
              <w:jc w:val="center"/>
              <w:textAlignment w:val="center"/>
              <w:rPr>
                <w:rFonts w:ascii="Times New Roman" w:hAnsi="Times New Roman" w:eastAsia="仿宋_GB2312"/>
                <w:kern w:val="0"/>
                <w:sz w:val="24"/>
              </w:rPr>
            </w:pPr>
            <w:r>
              <w:rPr>
                <w:rFonts w:hint="eastAsia" w:ascii="Times New Roman" w:hAnsi="Times New Roman" w:eastAsia="仿宋_GB2312"/>
                <w:kern w:val="0"/>
                <w:sz w:val="24"/>
              </w:rPr>
              <w:t>纬度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center"/>
          </w:tcPr>
          <w:p>
            <w:pPr>
              <w:spacing w:line="360" w:lineRule="exact"/>
              <w:ind w:firstLine="420" w:firstLineChars="200"/>
              <w:rPr>
                <w:rFonts w:ascii="Times New Roman" w:hAnsi="Times New Roman" w:eastAsia="Times New Roman"/>
                <w:color w:val="262626"/>
                <w:szCs w:val="21"/>
              </w:rPr>
            </w:pPr>
            <w:r>
              <w:rPr>
                <w:rFonts w:ascii="Times New Roman" w:hAnsi="Times New Roman" w:eastAsia="Times New Roman"/>
                <w:color w:val="262626"/>
                <w:szCs w:val="21"/>
              </w:rPr>
              <w:t>1</w:t>
            </w:r>
          </w:p>
        </w:tc>
        <w:tc>
          <w:tcPr>
            <w:tcW w:w="2796" w:type="dxa"/>
            <w:vAlign w:val="center"/>
          </w:tcPr>
          <w:p>
            <w:pPr>
              <w:spacing w:line="200" w:lineRule="exact"/>
              <w:jc w:val="center"/>
              <w:rPr>
                <w:rFonts w:ascii="Times New Roman" w:hAnsi="Times New Roman" w:eastAsia="方正仿宋_GBK"/>
                <w:sz w:val="32"/>
                <w:szCs w:val="32"/>
              </w:rPr>
            </w:pPr>
            <w:r>
              <w:rPr>
                <w:rFonts w:ascii="Calibri" w:hAnsi="Calibri"/>
                <w:szCs w:val="21"/>
              </w:rPr>
              <w:t>108°27′49.471″</w:t>
            </w:r>
          </w:p>
        </w:tc>
        <w:tc>
          <w:tcPr>
            <w:tcW w:w="2796" w:type="dxa"/>
            <w:vAlign w:val="center"/>
          </w:tcPr>
          <w:p>
            <w:pPr>
              <w:spacing w:line="200" w:lineRule="exact"/>
              <w:jc w:val="center"/>
              <w:rPr>
                <w:rFonts w:ascii="Times New Roman" w:hAnsi="Times New Roman" w:eastAsia="方正仿宋_GBK"/>
                <w:sz w:val="32"/>
                <w:szCs w:val="32"/>
              </w:rPr>
            </w:pPr>
            <w:r>
              <w:rPr>
                <w:rFonts w:ascii="Calibri" w:hAnsi="Calibri"/>
                <w:szCs w:val="21"/>
              </w:rPr>
              <w:t>32°00′06.606″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center"/>
          </w:tcPr>
          <w:p>
            <w:pPr>
              <w:spacing w:line="360" w:lineRule="exact"/>
              <w:ind w:firstLine="420" w:firstLineChars="200"/>
              <w:rPr>
                <w:rFonts w:ascii="Times New Roman" w:hAnsi="Times New Roman" w:eastAsia="Times New Roman"/>
                <w:color w:val="262626"/>
                <w:szCs w:val="21"/>
              </w:rPr>
            </w:pPr>
            <w:r>
              <w:rPr>
                <w:rFonts w:ascii="Times New Roman" w:hAnsi="Times New Roman" w:eastAsia="Times New Roman"/>
                <w:color w:val="262626"/>
                <w:szCs w:val="21"/>
              </w:rPr>
              <w:t>2</w:t>
            </w:r>
          </w:p>
        </w:tc>
        <w:tc>
          <w:tcPr>
            <w:tcW w:w="2796" w:type="dxa"/>
            <w:vAlign w:val="center"/>
          </w:tcPr>
          <w:p>
            <w:pPr>
              <w:spacing w:line="200" w:lineRule="exact"/>
              <w:jc w:val="center"/>
              <w:rPr>
                <w:rFonts w:ascii="Times New Roman" w:hAnsi="Times New Roman" w:eastAsia="方正仿宋_GBK"/>
                <w:sz w:val="32"/>
                <w:szCs w:val="21"/>
              </w:rPr>
            </w:pPr>
            <w:r>
              <w:rPr>
                <w:rFonts w:ascii="Calibri" w:hAnsi="Calibri"/>
                <w:szCs w:val="21"/>
              </w:rPr>
              <w:t>108°27′49.111″</w:t>
            </w:r>
          </w:p>
        </w:tc>
        <w:tc>
          <w:tcPr>
            <w:tcW w:w="2796" w:type="dxa"/>
            <w:vAlign w:val="center"/>
          </w:tcPr>
          <w:p>
            <w:pPr>
              <w:spacing w:line="200" w:lineRule="exact"/>
              <w:jc w:val="center"/>
              <w:rPr>
                <w:rFonts w:ascii="Times New Roman" w:hAnsi="Times New Roman" w:eastAsia="方正仿宋_GBK"/>
                <w:sz w:val="32"/>
                <w:szCs w:val="21"/>
              </w:rPr>
            </w:pPr>
            <w:r>
              <w:rPr>
                <w:rFonts w:ascii="Calibri" w:hAnsi="Calibri"/>
                <w:szCs w:val="21"/>
              </w:rPr>
              <w:t>32°00′14.594″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center"/>
          </w:tcPr>
          <w:p>
            <w:pPr>
              <w:spacing w:line="360" w:lineRule="exact"/>
              <w:ind w:firstLine="420" w:firstLineChars="200"/>
              <w:rPr>
                <w:rFonts w:ascii="Times New Roman" w:hAnsi="Times New Roman" w:eastAsia="方正仿宋_GBK"/>
                <w:color w:val="262626"/>
                <w:szCs w:val="21"/>
              </w:rPr>
            </w:pPr>
            <w:r>
              <w:rPr>
                <w:rFonts w:ascii="Times New Roman" w:hAnsi="Times New Roman" w:eastAsia="Times New Roman"/>
                <w:color w:val="262626"/>
                <w:szCs w:val="21"/>
              </w:rPr>
              <w:t>3</w:t>
            </w:r>
          </w:p>
        </w:tc>
        <w:tc>
          <w:tcPr>
            <w:tcW w:w="2796" w:type="dxa"/>
            <w:vAlign w:val="center"/>
          </w:tcPr>
          <w:p>
            <w:pPr>
              <w:spacing w:line="200" w:lineRule="exact"/>
              <w:jc w:val="center"/>
              <w:rPr>
                <w:rFonts w:ascii="Times New Roman" w:hAnsi="Times New Roman" w:eastAsia="方正仿宋_GBK"/>
                <w:sz w:val="32"/>
                <w:szCs w:val="21"/>
              </w:rPr>
            </w:pPr>
            <w:r>
              <w:rPr>
                <w:rFonts w:ascii="Calibri" w:hAnsi="Calibri"/>
                <w:szCs w:val="21"/>
              </w:rPr>
              <w:t>108°27′51.739″</w:t>
            </w:r>
          </w:p>
        </w:tc>
        <w:tc>
          <w:tcPr>
            <w:tcW w:w="2796" w:type="dxa"/>
            <w:vAlign w:val="center"/>
          </w:tcPr>
          <w:p>
            <w:pPr>
              <w:spacing w:line="200" w:lineRule="exact"/>
              <w:jc w:val="center"/>
              <w:rPr>
                <w:rFonts w:ascii="Times New Roman" w:hAnsi="Times New Roman" w:eastAsia="方正仿宋_GBK"/>
                <w:sz w:val="32"/>
                <w:szCs w:val="21"/>
              </w:rPr>
            </w:pPr>
            <w:r>
              <w:rPr>
                <w:rFonts w:ascii="Calibri" w:hAnsi="Calibri"/>
                <w:szCs w:val="21"/>
              </w:rPr>
              <w:t>32°00′23.360″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center"/>
          </w:tcPr>
          <w:p>
            <w:pPr>
              <w:spacing w:line="360" w:lineRule="exact"/>
              <w:ind w:firstLine="420" w:firstLineChars="200"/>
              <w:rPr>
                <w:rFonts w:ascii="Times New Roman" w:hAnsi="Times New Roman" w:eastAsia="方正仿宋_GBK"/>
                <w:color w:val="262626"/>
                <w:szCs w:val="21"/>
              </w:rPr>
            </w:pPr>
            <w:r>
              <w:rPr>
                <w:rFonts w:ascii="Times New Roman" w:hAnsi="Times New Roman" w:eastAsia="Times New Roman"/>
                <w:color w:val="262626"/>
                <w:szCs w:val="21"/>
              </w:rPr>
              <w:t>4</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108°27′57.132″</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32°00′24.181″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center"/>
          </w:tcPr>
          <w:p>
            <w:pPr>
              <w:spacing w:line="360" w:lineRule="exact"/>
              <w:ind w:firstLine="420" w:firstLineChars="200"/>
              <w:rPr>
                <w:rFonts w:ascii="Times New Roman" w:hAnsi="Times New Roman" w:eastAsia="方正仿宋_GBK"/>
                <w:color w:val="262626"/>
                <w:szCs w:val="21"/>
              </w:rPr>
            </w:pPr>
            <w:r>
              <w:rPr>
                <w:rFonts w:ascii="Times New Roman" w:hAnsi="Times New Roman" w:eastAsia="Times New Roman"/>
                <w:color w:val="262626"/>
                <w:szCs w:val="21"/>
              </w:rPr>
              <w:t>5</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108°28′07.050″</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32°00′20.120″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center"/>
          </w:tcPr>
          <w:p>
            <w:pPr>
              <w:spacing w:line="360" w:lineRule="exact"/>
              <w:ind w:firstLine="420" w:firstLineChars="200"/>
              <w:rPr>
                <w:rFonts w:ascii="Times New Roman" w:hAnsi="Times New Roman" w:eastAsia="方正仿宋_GBK"/>
                <w:color w:val="262626"/>
                <w:szCs w:val="21"/>
              </w:rPr>
            </w:pPr>
            <w:r>
              <w:rPr>
                <w:rFonts w:ascii="Times New Roman" w:hAnsi="Times New Roman" w:eastAsia="Times New Roman"/>
                <w:color w:val="262626"/>
                <w:szCs w:val="21"/>
              </w:rPr>
              <w:t>6</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108°28′14.020″</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32°00′10.426″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center"/>
          </w:tcPr>
          <w:p>
            <w:pPr>
              <w:spacing w:line="360" w:lineRule="exact"/>
              <w:ind w:firstLine="420" w:firstLineChars="200"/>
              <w:rPr>
                <w:rFonts w:ascii="Times New Roman" w:hAnsi="Times New Roman" w:eastAsia="方正仿宋_GBK"/>
                <w:color w:val="262626"/>
                <w:szCs w:val="21"/>
              </w:rPr>
            </w:pPr>
            <w:r>
              <w:rPr>
                <w:rFonts w:ascii="Times New Roman" w:hAnsi="Times New Roman" w:eastAsia="Times New Roman"/>
                <w:color w:val="262626"/>
                <w:szCs w:val="21"/>
              </w:rPr>
              <w:t>7</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108°28′17.562″</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32°00′02.020″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center"/>
          </w:tcPr>
          <w:p>
            <w:pPr>
              <w:spacing w:line="360" w:lineRule="exact"/>
              <w:ind w:firstLine="420" w:firstLineChars="200"/>
              <w:rPr>
                <w:rFonts w:ascii="Times New Roman" w:hAnsi="Times New Roman" w:eastAsia="方正仿宋_GBK"/>
                <w:color w:val="262626"/>
                <w:szCs w:val="21"/>
              </w:rPr>
            </w:pPr>
            <w:r>
              <w:rPr>
                <w:rFonts w:ascii="Times New Roman" w:hAnsi="Times New Roman" w:eastAsia="Times New Roman"/>
                <w:color w:val="262626"/>
                <w:szCs w:val="21"/>
              </w:rPr>
              <w:t>8</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108°28′20.762″</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31°59′55.424″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center"/>
          </w:tcPr>
          <w:p>
            <w:pPr>
              <w:spacing w:line="360" w:lineRule="exact"/>
              <w:ind w:firstLine="420" w:firstLineChars="200"/>
              <w:rPr>
                <w:rFonts w:ascii="Times New Roman" w:hAnsi="Times New Roman" w:eastAsia="方正仿宋_GBK"/>
                <w:color w:val="262626"/>
                <w:szCs w:val="21"/>
              </w:rPr>
            </w:pPr>
            <w:r>
              <w:rPr>
                <w:rFonts w:ascii="Times New Roman" w:hAnsi="Times New Roman" w:eastAsia="Times New Roman"/>
                <w:color w:val="262626"/>
                <w:szCs w:val="21"/>
              </w:rPr>
              <w:t>9</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108°28′20.683″</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31°59′50.982″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center"/>
          </w:tcPr>
          <w:p>
            <w:pPr>
              <w:spacing w:line="360" w:lineRule="exact"/>
              <w:ind w:firstLine="420" w:firstLineChars="200"/>
              <w:rPr>
                <w:rFonts w:ascii="Times New Roman" w:hAnsi="Times New Roman" w:eastAsia="方正仿宋_GBK"/>
                <w:color w:val="262626"/>
                <w:szCs w:val="21"/>
              </w:rPr>
            </w:pPr>
            <w:r>
              <w:rPr>
                <w:rFonts w:ascii="Times New Roman" w:hAnsi="Times New Roman" w:eastAsia="Times New Roman"/>
                <w:color w:val="262626"/>
                <w:szCs w:val="21"/>
              </w:rPr>
              <w:t>10</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108°28′16.288″</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31°59′47.972″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center"/>
          </w:tcPr>
          <w:p>
            <w:pPr>
              <w:spacing w:line="360" w:lineRule="exact"/>
              <w:ind w:firstLine="420" w:firstLineChars="200"/>
              <w:rPr>
                <w:rFonts w:ascii="Times New Roman" w:hAnsi="Times New Roman" w:eastAsia="方正仿宋_GBK"/>
                <w:color w:val="262626"/>
                <w:szCs w:val="21"/>
              </w:rPr>
            </w:pPr>
            <w:r>
              <w:rPr>
                <w:rFonts w:ascii="Times New Roman" w:hAnsi="Times New Roman" w:eastAsia="Times New Roman"/>
                <w:color w:val="262626"/>
                <w:szCs w:val="21"/>
              </w:rPr>
              <w:t>11</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108°28′12.169″</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31°59′48.782″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center"/>
          </w:tcPr>
          <w:p>
            <w:pPr>
              <w:spacing w:line="360" w:lineRule="exact"/>
              <w:ind w:firstLine="420" w:firstLineChars="200"/>
              <w:rPr>
                <w:rFonts w:ascii="Times New Roman" w:hAnsi="Times New Roman" w:eastAsia="方正仿宋_GBK"/>
                <w:color w:val="262626"/>
                <w:szCs w:val="21"/>
              </w:rPr>
            </w:pPr>
            <w:r>
              <w:rPr>
                <w:rFonts w:ascii="Times New Roman" w:hAnsi="Times New Roman" w:eastAsia="Times New Roman"/>
                <w:color w:val="262626"/>
                <w:szCs w:val="21"/>
              </w:rPr>
              <w:t>12</w:t>
            </w:r>
          </w:p>
        </w:tc>
        <w:tc>
          <w:tcPr>
            <w:tcW w:w="2796" w:type="dxa"/>
            <w:vAlign w:val="center"/>
          </w:tcPr>
          <w:p>
            <w:pPr>
              <w:spacing w:line="200" w:lineRule="exact"/>
              <w:jc w:val="center"/>
              <w:rPr>
                <w:rFonts w:ascii="Times New Roman" w:hAnsi="Times New Roman" w:eastAsia="方正仿宋_GBK"/>
                <w:szCs w:val="21"/>
              </w:rPr>
            </w:pPr>
          </w:p>
          <w:p>
            <w:pPr>
              <w:spacing w:line="200" w:lineRule="exact"/>
              <w:jc w:val="center"/>
              <w:rPr>
                <w:rFonts w:ascii="Times New Roman" w:hAnsi="Times New Roman" w:eastAsia="方正仿宋_GBK"/>
                <w:szCs w:val="21"/>
              </w:rPr>
            </w:pPr>
            <w:r>
              <w:rPr>
                <w:rFonts w:ascii="Calibri" w:hAnsi="Calibri"/>
                <w:szCs w:val="21"/>
              </w:rPr>
              <w:t>108°28′07.118″</w:t>
            </w:r>
          </w:p>
        </w:tc>
        <w:tc>
          <w:tcPr>
            <w:tcW w:w="2796" w:type="dxa"/>
            <w:vAlign w:val="center"/>
          </w:tcPr>
          <w:p>
            <w:pPr>
              <w:spacing w:line="200" w:lineRule="exact"/>
              <w:jc w:val="center"/>
              <w:rPr>
                <w:rFonts w:ascii="Times New Roman" w:hAnsi="Times New Roman" w:eastAsia="方正仿宋_GBK"/>
                <w:szCs w:val="21"/>
              </w:rPr>
            </w:pPr>
          </w:p>
          <w:p>
            <w:pPr>
              <w:spacing w:line="200" w:lineRule="exact"/>
              <w:jc w:val="center"/>
              <w:rPr>
                <w:rFonts w:ascii="Times New Roman" w:hAnsi="Times New Roman" w:eastAsia="方正仿宋_GBK"/>
                <w:szCs w:val="21"/>
              </w:rPr>
            </w:pPr>
            <w:r>
              <w:rPr>
                <w:rFonts w:ascii="Calibri" w:hAnsi="Calibri"/>
                <w:szCs w:val="21"/>
              </w:rPr>
              <w:t>31°59′50.914″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center"/>
          </w:tcPr>
          <w:p>
            <w:pPr>
              <w:spacing w:line="360" w:lineRule="exact"/>
              <w:ind w:firstLine="420" w:firstLineChars="200"/>
              <w:rPr>
                <w:rFonts w:ascii="Times New Roman" w:hAnsi="Times New Roman" w:eastAsia="方正仿宋_GBK"/>
                <w:color w:val="262626"/>
                <w:szCs w:val="21"/>
              </w:rPr>
            </w:pPr>
            <w:r>
              <w:rPr>
                <w:rFonts w:ascii="Times New Roman" w:hAnsi="Times New Roman" w:eastAsia="Times New Roman"/>
                <w:color w:val="262626"/>
                <w:szCs w:val="21"/>
              </w:rPr>
              <w:t>13</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108°28′03.670″</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31°59′53.642″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center"/>
          </w:tcPr>
          <w:p>
            <w:pPr>
              <w:spacing w:line="360" w:lineRule="exact"/>
              <w:ind w:firstLine="420" w:firstLineChars="200"/>
              <w:rPr>
                <w:rFonts w:ascii="Times New Roman" w:hAnsi="Times New Roman" w:eastAsia="方正仿宋_GBK"/>
                <w:color w:val="262626"/>
                <w:szCs w:val="21"/>
              </w:rPr>
            </w:pPr>
            <w:r>
              <w:rPr>
                <w:rFonts w:ascii="Times New Roman" w:hAnsi="Times New Roman" w:eastAsia="Times New Roman"/>
                <w:color w:val="262626"/>
                <w:szCs w:val="21"/>
              </w:rPr>
              <w:t>14</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108°27′49.403″</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31°59′46.853″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center"/>
          </w:tcPr>
          <w:p>
            <w:pPr>
              <w:spacing w:line="360" w:lineRule="exact"/>
              <w:ind w:firstLine="420" w:firstLineChars="200"/>
              <w:rPr>
                <w:rFonts w:ascii="Times New Roman" w:hAnsi="Times New Roman" w:eastAsia="方正仿宋_GBK"/>
                <w:color w:val="262626"/>
                <w:szCs w:val="21"/>
              </w:rPr>
            </w:pPr>
            <w:r>
              <w:rPr>
                <w:rFonts w:ascii="Times New Roman" w:hAnsi="Times New Roman" w:eastAsia="Times New Roman"/>
                <w:color w:val="262626"/>
                <w:szCs w:val="21"/>
              </w:rPr>
              <w:t>15</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108°27′42.523″</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31°59′55.950″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596" w:type="dxa"/>
            <w:vAlign w:val="center"/>
          </w:tcPr>
          <w:p>
            <w:pPr>
              <w:spacing w:line="360" w:lineRule="exact"/>
              <w:ind w:firstLine="420" w:firstLineChars="200"/>
              <w:rPr>
                <w:rFonts w:ascii="Times New Roman" w:hAnsi="Times New Roman" w:eastAsia="方正仿宋_GBK"/>
                <w:color w:val="262626"/>
                <w:szCs w:val="21"/>
              </w:rPr>
            </w:pPr>
            <w:r>
              <w:rPr>
                <w:rFonts w:ascii="Times New Roman" w:hAnsi="Times New Roman" w:eastAsia="Times New Roman"/>
                <w:color w:val="262626"/>
                <w:szCs w:val="21"/>
              </w:rPr>
              <w:t>16</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108°27′52.913″</w:t>
            </w:r>
          </w:p>
        </w:tc>
        <w:tc>
          <w:tcPr>
            <w:tcW w:w="2796" w:type="dxa"/>
            <w:vAlign w:val="center"/>
          </w:tcPr>
          <w:p>
            <w:pPr>
              <w:spacing w:line="200" w:lineRule="exact"/>
              <w:jc w:val="center"/>
              <w:rPr>
                <w:rFonts w:ascii="Times New Roman" w:hAnsi="Times New Roman" w:eastAsia="Times New Roman"/>
                <w:color w:val="262626"/>
                <w:szCs w:val="21"/>
              </w:rPr>
            </w:pPr>
            <w:r>
              <w:rPr>
                <w:rFonts w:ascii="Calibri" w:hAnsi="Calibri"/>
                <w:szCs w:val="21"/>
              </w:rPr>
              <w:t>32°00′02.120″</w:t>
            </w:r>
          </w:p>
        </w:tc>
      </w:tr>
    </w:tbl>
    <w:p>
      <w:pPr>
        <w:spacing w:beforeLines="50" w:line="600" w:lineRule="exact"/>
        <w:ind w:firstLine="706" w:firstLineChars="220"/>
        <w:rPr>
          <w:rFonts w:ascii="Times New Roman" w:hAnsi="Times New Roman" w:eastAsia="方正仿宋_GBK"/>
          <w:b/>
          <w:bCs/>
          <w:sz w:val="32"/>
          <w:szCs w:val="32"/>
        </w:rPr>
      </w:pPr>
      <w:r>
        <w:rPr>
          <w:rFonts w:hint="eastAsia" w:ascii="Times New Roman" w:hAnsi="Times New Roman" w:eastAsia="方正仿宋_GBK"/>
          <w:b/>
          <w:bCs/>
          <w:sz w:val="32"/>
          <w:szCs w:val="32"/>
        </w:rPr>
        <w:t>二、交易双方基本情况</w:t>
      </w:r>
    </w:p>
    <w:p>
      <w:pPr>
        <w:snapToGrid w:val="0"/>
        <w:spacing w:line="600" w:lineRule="exact"/>
        <w:ind w:firstLine="640" w:firstLineChars="200"/>
        <w:rPr>
          <w:rFonts w:ascii="Times New Roman" w:hAnsi="Times New Roman" w:eastAsia="方正仿宋_GBK"/>
          <w:i w:val="0"/>
          <w:iCs/>
          <w:sz w:val="32"/>
          <w:szCs w:val="32"/>
          <w:u w:val="none"/>
        </w:rPr>
      </w:pPr>
      <w:r>
        <w:rPr>
          <w:rFonts w:hint="eastAsia" w:ascii="Times New Roman" w:hAnsi="Times New Roman" w:eastAsia="方正仿宋_GBK"/>
          <w:sz w:val="32"/>
          <w:szCs w:val="32"/>
        </w:rPr>
        <w:t>（一）出让人：</w:t>
      </w:r>
      <w:r>
        <w:rPr>
          <w:rFonts w:hint="eastAsia" w:ascii="Times New Roman" w:hAnsi="Times New Roman" w:eastAsia="方正仿宋_GBK"/>
          <w:i w:val="0"/>
          <w:iCs/>
          <w:sz w:val="32"/>
          <w:szCs w:val="32"/>
          <w:u w:val="none"/>
        </w:rPr>
        <w:t>城口县规划和自然资源局，</w:t>
      </w:r>
    </w:p>
    <w:p>
      <w:pPr>
        <w:snapToGrid w:val="0"/>
        <w:spacing w:line="600" w:lineRule="exact"/>
        <w:ind w:firstLine="640" w:firstLineChars="200"/>
        <w:rPr>
          <w:rFonts w:ascii="Times New Roman" w:hAnsi="Times New Roman" w:eastAsia="方正仿宋_GBK"/>
          <w:sz w:val="32"/>
          <w:szCs w:val="32"/>
          <w:u w:val="single"/>
        </w:rPr>
      </w:pPr>
      <w:r>
        <w:rPr>
          <w:rFonts w:hint="eastAsia" w:ascii="Times New Roman" w:hAnsi="Times New Roman" w:eastAsia="方正仿宋_GBK"/>
          <w:i w:val="0"/>
          <w:iCs/>
          <w:sz w:val="32"/>
          <w:szCs w:val="32"/>
          <w:u w:val="none"/>
        </w:rPr>
        <w:t>住所：</w:t>
      </w:r>
      <w:bookmarkStart w:id="0" w:name="_GoBack"/>
      <w:bookmarkEnd w:id="0"/>
      <w:r>
        <w:rPr>
          <w:rFonts w:hint="eastAsia" w:ascii="Times New Roman" w:hAnsi="Times New Roman" w:eastAsia="方正仿宋_GBK"/>
          <w:i w:val="0"/>
          <w:iCs/>
          <w:sz w:val="32"/>
          <w:szCs w:val="32"/>
          <w:u w:val="none"/>
        </w:rPr>
        <w:t>城口县葛城街道北大街行政综合楼</w:t>
      </w:r>
      <w:r>
        <w:rPr>
          <w:rFonts w:hint="eastAsia" w:ascii="Times New Roman" w:hAnsi="Times New Roman" w:eastAsia="方正仿宋_GBK"/>
          <w:sz w:val="32"/>
          <w:szCs w:val="32"/>
        </w:rPr>
        <w:t>。</w:t>
      </w:r>
    </w:p>
    <w:p>
      <w:pPr>
        <w:snapToGrid w:val="0"/>
        <w:spacing w:line="6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（二）竞得人：</w:t>
      </w:r>
      <w:r>
        <w:rPr>
          <w:rFonts w:ascii="宋体" w:hAnsi="宋体" w:cs="宋体"/>
          <w:sz w:val="32"/>
          <w:u w:val="single"/>
        </w:rPr>
        <w:t xml:space="preserve">  </w:t>
      </w:r>
      <w:r>
        <w:rPr>
          <w:rFonts w:hint="eastAsia" w:ascii="宋体" w:hAnsi="宋体" w:cs="宋体"/>
          <w:sz w:val="32"/>
        </w:rPr>
        <w:t>；</w:t>
      </w:r>
    </w:p>
    <w:p>
      <w:pPr>
        <w:snapToGrid w:val="0"/>
        <w:spacing w:line="6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住所：</w:t>
      </w:r>
      <w:r>
        <w:rPr>
          <w:rFonts w:ascii="Times New Roman" w:hAnsi="Times New Roman" w:eastAsia="方正仿宋_GBK"/>
          <w:sz w:val="32"/>
          <w:szCs w:val="32"/>
          <w:u w:val="single"/>
        </w:rPr>
        <w:t xml:space="preserve"> </w:t>
      </w:r>
      <w:r>
        <w:rPr>
          <w:rFonts w:hint="eastAsia" w:ascii="Times New Roman" w:hAnsi="Times New Roman" w:eastAsia="方正仿宋_GBK"/>
          <w:sz w:val="32"/>
          <w:szCs w:val="32"/>
          <w:u w:val="single"/>
          <w:lang w:val="en-US" w:eastAsia="zh-CN"/>
        </w:rPr>
        <w:t xml:space="preserve">       </w:t>
      </w:r>
      <w:r>
        <w:rPr>
          <w:rFonts w:ascii="Times New Roman" w:hAnsi="Times New Roman" w:eastAsia="方正仿宋_GBK"/>
          <w:sz w:val="32"/>
          <w:szCs w:val="32"/>
          <w:u w:val="single"/>
        </w:rPr>
        <w:t xml:space="preserve">  </w:t>
      </w:r>
      <w:r>
        <w:rPr>
          <w:rFonts w:hint="eastAsia" w:ascii="Times New Roman" w:hAnsi="Times New Roman" w:eastAsia="方正仿宋_GBK"/>
          <w:sz w:val="32"/>
          <w:szCs w:val="32"/>
        </w:rPr>
        <w:t>。</w:t>
      </w:r>
    </w:p>
    <w:p>
      <w:pPr>
        <w:spacing w:line="600" w:lineRule="exact"/>
        <w:ind w:firstLine="640" w:firstLineChars="200"/>
        <w:rPr>
          <w:rFonts w:ascii="Times New Roman" w:hAnsi="Times New Roman" w:eastAsia="方正仿宋_GBK"/>
          <w:i w:val="0"/>
          <w:iCs w:val="0"/>
          <w:sz w:val="32"/>
          <w:szCs w:val="32"/>
        </w:rPr>
      </w:pPr>
      <w:r>
        <w:rPr>
          <w:rFonts w:hint="eastAsia" w:ascii="Times New Roman" w:hAnsi="Times New Roman" w:eastAsia="方正仿宋_GBK"/>
          <w:sz w:val="32"/>
          <w:szCs w:val="32"/>
        </w:rPr>
        <w:t>三、</w:t>
      </w:r>
      <w:r>
        <w:rPr>
          <w:rFonts w:hint="eastAsia" w:ascii="Times New Roman" w:hAnsi="Times New Roman" w:eastAsia="方正仿宋_GBK"/>
          <w:i w:val="0"/>
          <w:iCs w:val="0"/>
          <w:sz w:val="32"/>
          <w:szCs w:val="32"/>
        </w:rPr>
        <w:t>该宗探矿权出让收益成交价为人民币小写（大写：）；出让收益率（仅用于出让收益率征收的矿种）。</w:t>
      </w:r>
    </w:p>
    <w:p>
      <w:pPr>
        <w:snapToGrid w:val="0"/>
        <w:spacing w:line="600" w:lineRule="exact"/>
        <w:ind w:firstLine="640" w:firstLineChars="200"/>
        <w:rPr>
          <w:rFonts w:ascii="Times New Roman" w:hAnsi="Times New Roman" w:eastAsia="方正仿宋_GBK"/>
          <w:sz w:val="32"/>
          <w:szCs w:val="32"/>
          <w:u w:val="single"/>
        </w:rPr>
      </w:pPr>
      <w:r>
        <w:rPr>
          <w:rFonts w:hint="eastAsia" w:ascii="Times New Roman" w:hAnsi="Times New Roman" w:eastAsia="方正仿宋_GBK"/>
          <w:sz w:val="32"/>
          <w:szCs w:val="32"/>
        </w:rPr>
        <w:t>四、</w:t>
      </w:r>
      <w:r>
        <w:rPr>
          <w:rFonts w:hint="eastAsia" w:ascii="Times New Roman" w:hAnsi="Times New Roman" w:eastAsia="方正仿宋_GBK"/>
          <w:sz w:val="32"/>
          <w:szCs w:val="32"/>
          <w:u w:val="single"/>
        </w:rPr>
        <w:t>竞得人应在取得成交确认书后的</w:t>
      </w:r>
      <w:r>
        <w:rPr>
          <w:rFonts w:ascii="Times New Roman" w:hAnsi="Times New Roman" w:eastAsia="方正仿宋_GBK"/>
          <w:sz w:val="32"/>
          <w:szCs w:val="32"/>
          <w:u w:val="single"/>
        </w:rPr>
        <w:t>15</w:t>
      </w:r>
      <w:r>
        <w:rPr>
          <w:rFonts w:hint="eastAsia" w:ascii="Times New Roman" w:hAnsi="Times New Roman" w:eastAsia="方正仿宋_GBK"/>
          <w:sz w:val="32"/>
          <w:szCs w:val="32"/>
          <w:u w:val="single"/>
        </w:rPr>
        <w:t>个工作日内，持成交确认书、合同签订申请书及其他相关资料向出让人申请签订《重庆市探矿权出让合同》。成交结果公示期满无异议的，竞得人应于</w:t>
      </w:r>
      <w:r>
        <w:rPr>
          <w:rFonts w:ascii="Times New Roman" w:hAnsi="Times New Roman" w:eastAsia="方正仿宋_GBK"/>
          <w:sz w:val="32"/>
          <w:szCs w:val="32"/>
          <w:u w:val="single"/>
        </w:rPr>
        <w:t xml:space="preserve">  </w:t>
      </w:r>
      <w:r>
        <w:rPr>
          <w:rFonts w:hint="eastAsia" w:ascii="Times New Roman" w:hAnsi="Times New Roman" w:eastAsia="方正仿宋_GBK"/>
          <w:sz w:val="32"/>
          <w:szCs w:val="32"/>
          <w:u w:val="single"/>
        </w:rPr>
        <w:t>年</w:t>
      </w:r>
      <w:r>
        <w:rPr>
          <w:rFonts w:ascii="Times New Roman" w:hAnsi="Times New Roman" w:eastAsia="方正仿宋_GBK"/>
          <w:sz w:val="32"/>
          <w:szCs w:val="32"/>
          <w:u w:val="single"/>
        </w:rPr>
        <w:t xml:space="preserve">  </w:t>
      </w:r>
      <w:r>
        <w:rPr>
          <w:rFonts w:hint="eastAsia" w:ascii="Times New Roman" w:hAnsi="Times New Roman" w:eastAsia="方正仿宋_GBK"/>
          <w:sz w:val="32"/>
          <w:szCs w:val="32"/>
          <w:u w:val="single"/>
        </w:rPr>
        <w:t>月</w:t>
      </w:r>
      <w:r>
        <w:rPr>
          <w:rFonts w:ascii="Times New Roman" w:hAnsi="Times New Roman" w:eastAsia="方正仿宋_GBK"/>
          <w:sz w:val="32"/>
          <w:szCs w:val="32"/>
          <w:u w:val="single"/>
        </w:rPr>
        <w:t xml:space="preserve">  </w:t>
      </w:r>
      <w:r>
        <w:rPr>
          <w:rFonts w:hint="eastAsia" w:ascii="Times New Roman" w:hAnsi="Times New Roman" w:eastAsia="方正仿宋_GBK"/>
          <w:sz w:val="32"/>
          <w:szCs w:val="32"/>
          <w:u w:val="single"/>
        </w:rPr>
        <w:t>日前（取得成交确认书后的</w:t>
      </w:r>
      <w:r>
        <w:rPr>
          <w:rFonts w:ascii="Times New Roman" w:hAnsi="Times New Roman" w:eastAsia="方正仿宋_GBK"/>
          <w:sz w:val="32"/>
          <w:szCs w:val="32"/>
          <w:u w:val="single"/>
        </w:rPr>
        <w:t>30</w:t>
      </w:r>
      <w:r>
        <w:rPr>
          <w:rFonts w:hint="eastAsia" w:ascii="Times New Roman" w:hAnsi="Times New Roman" w:eastAsia="方正仿宋_GBK"/>
          <w:sz w:val="32"/>
          <w:szCs w:val="32"/>
          <w:u w:val="single"/>
        </w:rPr>
        <w:t>个工作日内）与出让人完成合同签订。若逾期未申请或拒不完成合同签订的，则视为竞得人自动放弃竞得资格，出让人不予退还竞买保证金并有权另行出让该宗探矿权。</w:t>
      </w:r>
    </w:p>
    <w:p>
      <w:pPr>
        <w:snapToGrid w:val="0"/>
        <w:spacing w:line="6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五、本成交确认书一式四份，双方各持两份，签字盖章后生效。</w:t>
      </w:r>
    </w:p>
    <w:p>
      <w:pPr>
        <w:snapToGrid w:val="0"/>
        <w:spacing w:line="600" w:lineRule="exact"/>
        <w:rPr>
          <w:rFonts w:ascii="Times New Roman" w:hAnsi="Times New Roman" w:eastAsia="仿宋_GB2312"/>
          <w:sz w:val="32"/>
          <w:szCs w:val="32"/>
        </w:rPr>
      </w:pPr>
    </w:p>
    <w:p>
      <w:pPr>
        <w:snapToGrid w:val="0"/>
        <w:spacing w:line="600" w:lineRule="exact"/>
        <w:rPr>
          <w:rFonts w:ascii="Times New Roman" w:hAnsi="Times New Roman" w:eastAsia="仿宋_GB2312"/>
          <w:sz w:val="32"/>
          <w:szCs w:val="32"/>
        </w:rPr>
      </w:pPr>
      <w:r>
        <w:rPr>
          <w:rFonts w:hint="eastAsia" w:ascii="Times New Roman" w:hAnsi="Times New Roman" w:eastAsia="仿宋_GB2312"/>
          <w:sz w:val="32"/>
          <w:szCs w:val="32"/>
        </w:rPr>
        <w:t>交易平台：</w:t>
      </w:r>
      <w:r>
        <w:rPr>
          <w:rFonts w:ascii="Times New Roman" w:hAnsi="Times New Roman" w:eastAsia="仿宋_GB2312"/>
          <w:sz w:val="32"/>
          <w:szCs w:val="32"/>
        </w:rPr>
        <w:t xml:space="preserve">                     </w:t>
      </w:r>
      <w:r>
        <w:rPr>
          <w:rFonts w:hint="eastAsia" w:ascii="Times New Roman" w:hAnsi="Times New Roman" w:eastAsia="仿宋_GB2312"/>
          <w:sz w:val="32"/>
          <w:szCs w:val="32"/>
        </w:rPr>
        <w:t>竞得人：</w:t>
      </w:r>
    </w:p>
    <w:p>
      <w:pPr>
        <w:snapToGrid w:val="0"/>
        <w:spacing w:line="600" w:lineRule="exact"/>
        <w:ind w:firstLine="1596" w:firstLineChars="499"/>
        <w:rPr>
          <w:rFonts w:ascii="Times New Roman" w:hAnsi="Times New Roman" w:eastAsia="仿宋_GB2312"/>
          <w:sz w:val="32"/>
          <w:szCs w:val="32"/>
        </w:rPr>
      </w:pPr>
    </w:p>
    <w:p>
      <w:pPr>
        <w:snapToGrid w:val="0"/>
        <w:spacing w:line="600" w:lineRule="exact"/>
        <w:ind w:firstLine="1596" w:firstLineChars="499"/>
        <w:rPr>
          <w:rFonts w:ascii="Times New Roman" w:hAnsi="Times New Roman" w:eastAsia="仿宋_GB2312"/>
          <w:sz w:val="32"/>
          <w:szCs w:val="32"/>
        </w:rPr>
      </w:pPr>
      <w:r>
        <w:rPr>
          <w:rFonts w:ascii="Times New Roman" w:hAnsi="Times New Roman" w:eastAsia="仿宋_GB2312"/>
          <w:sz w:val="32"/>
          <w:szCs w:val="32"/>
        </w:rPr>
        <w:t xml:space="preserve">                     </w:t>
      </w:r>
      <w:r>
        <w:rPr>
          <w:rFonts w:hint="eastAsia" w:ascii="Times New Roman" w:hAnsi="Times New Roman" w:eastAsia="仿宋_GB2312"/>
          <w:sz w:val="32"/>
          <w:szCs w:val="32"/>
        </w:rPr>
        <w:t>法定代表人（受托人）：</w:t>
      </w:r>
    </w:p>
    <w:p>
      <w:pPr>
        <w:snapToGrid w:val="0"/>
        <w:spacing w:line="600" w:lineRule="exact"/>
        <w:ind w:firstLine="1596" w:firstLineChars="499"/>
        <w:rPr>
          <w:rFonts w:ascii="Times New Roman" w:hAnsi="Times New Roman" w:eastAsia="仿宋_GB2312"/>
          <w:sz w:val="32"/>
          <w:szCs w:val="32"/>
        </w:rPr>
      </w:pPr>
    </w:p>
    <w:p>
      <w:pPr>
        <w:spacing w:line="600" w:lineRule="exact"/>
        <w:ind w:right="1260" w:rightChars="600"/>
        <w:jc w:val="right"/>
        <w:rPr>
          <w:rFonts w:ascii="Times New Roman" w:hAnsi="Times New Roman" w:eastAsia="仿宋_GB2312"/>
          <w:sz w:val="32"/>
          <w:szCs w:val="32"/>
        </w:rPr>
      </w:pPr>
      <w:r>
        <w:rPr>
          <w:rFonts w:hint="eastAsia" w:ascii="Times New Roman" w:hAnsi="Times New Roman" w:eastAsia="仿宋_GB2312"/>
          <w:sz w:val="32"/>
          <w:szCs w:val="32"/>
        </w:rPr>
        <w:t>年</w:t>
      </w:r>
      <w:r>
        <w:rPr>
          <w:rFonts w:ascii="Times New Roman" w:hAnsi="Times New Roman" w:eastAsia="仿宋_GB2312"/>
          <w:sz w:val="32"/>
          <w:szCs w:val="32"/>
        </w:rPr>
        <w:t xml:space="preserve">  </w:t>
      </w:r>
      <w:r>
        <w:rPr>
          <w:rFonts w:hint="eastAsia" w:ascii="Times New Roman" w:hAnsi="Times New Roman" w:eastAsia="仿宋_GB2312"/>
          <w:sz w:val="32"/>
          <w:szCs w:val="32"/>
        </w:rPr>
        <w:t>月</w:t>
      </w:r>
      <w:r>
        <w:rPr>
          <w:rFonts w:ascii="Times New Roman" w:hAnsi="Times New Roman" w:eastAsia="仿宋_GB2312"/>
          <w:sz w:val="32"/>
          <w:szCs w:val="32"/>
        </w:rPr>
        <w:t xml:space="preserve">  </w:t>
      </w:r>
      <w:r>
        <w:rPr>
          <w:rFonts w:hint="eastAsia" w:ascii="Times New Roman" w:hAnsi="Times New Roman" w:eastAsia="仿宋_GB2312"/>
          <w:sz w:val="32"/>
          <w:szCs w:val="32"/>
        </w:rPr>
        <w:t>日</w:t>
      </w:r>
    </w:p>
    <w:p>
      <w:pPr>
        <w:rPr>
          <w:rFonts w:eastAsia="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
    <w:altName w:val="DejaVu Math TeX Gyre"/>
    <w:panose1 w:val="00000000000000000000"/>
    <w:charset w:val="00"/>
    <w:family w:val="auto"/>
    <w:pitch w:val="default"/>
    <w:sig w:usb0="00000000" w:usb1="0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BkNzVkNTQ2ZDBmNDgzNmVlYTU5MDkxZmUwYjcyYTIifQ=="/>
  </w:docVars>
  <w:rsids>
    <w:rsidRoot w:val="005842F2"/>
    <w:rsid w:val="00006332"/>
    <w:rsid w:val="00012632"/>
    <w:rsid w:val="00017831"/>
    <w:rsid w:val="0002355A"/>
    <w:rsid w:val="00027C83"/>
    <w:rsid w:val="000A4734"/>
    <w:rsid w:val="000D5692"/>
    <w:rsid w:val="000E0B84"/>
    <w:rsid w:val="000E2120"/>
    <w:rsid w:val="000E4B06"/>
    <w:rsid w:val="000F7E83"/>
    <w:rsid w:val="00120D76"/>
    <w:rsid w:val="0013278C"/>
    <w:rsid w:val="001577C2"/>
    <w:rsid w:val="0016311A"/>
    <w:rsid w:val="001C594B"/>
    <w:rsid w:val="001C760F"/>
    <w:rsid w:val="001F0D4A"/>
    <w:rsid w:val="00226CD3"/>
    <w:rsid w:val="002772D8"/>
    <w:rsid w:val="00284DBE"/>
    <w:rsid w:val="00292FEB"/>
    <w:rsid w:val="002959C8"/>
    <w:rsid w:val="002A6DC1"/>
    <w:rsid w:val="002B50CE"/>
    <w:rsid w:val="002C2699"/>
    <w:rsid w:val="0030584E"/>
    <w:rsid w:val="00316A30"/>
    <w:rsid w:val="003958CB"/>
    <w:rsid w:val="003B5834"/>
    <w:rsid w:val="003E1992"/>
    <w:rsid w:val="00422465"/>
    <w:rsid w:val="00427D8E"/>
    <w:rsid w:val="00481D66"/>
    <w:rsid w:val="00491E7C"/>
    <w:rsid w:val="0049452C"/>
    <w:rsid w:val="004B020E"/>
    <w:rsid w:val="004B698A"/>
    <w:rsid w:val="004C4D2D"/>
    <w:rsid w:val="004E704E"/>
    <w:rsid w:val="005126CA"/>
    <w:rsid w:val="005842F2"/>
    <w:rsid w:val="00584C13"/>
    <w:rsid w:val="005C193E"/>
    <w:rsid w:val="005D684A"/>
    <w:rsid w:val="00630EE8"/>
    <w:rsid w:val="0065780D"/>
    <w:rsid w:val="00657CC8"/>
    <w:rsid w:val="00664B66"/>
    <w:rsid w:val="00682943"/>
    <w:rsid w:val="006B71BC"/>
    <w:rsid w:val="006C1C31"/>
    <w:rsid w:val="006C4337"/>
    <w:rsid w:val="006F3D99"/>
    <w:rsid w:val="00726AA9"/>
    <w:rsid w:val="0078698B"/>
    <w:rsid w:val="007935A0"/>
    <w:rsid w:val="008107BF"/>
    <w:rsid w:val="00817740"/>
    <w:rsid w:val="008621F6"/>
    <w:rsid w:val="00880D83"/>
    <w:rsid w:val="00884413"/>
    <w:rsid w:val="00896F51"/>
    <w:rsid w:val="008A2FD2"/>
    <w:rsid w:val="008C3AAC"/>
    <w:rsid w:val="008E06A6"/>
    <w:rsid w:val="008F3913"/>
    <w:rsid w:val="009071FE"/>
    <w:rsid w:val="0091367E"/>
    <w:rsid w:val="00937C0D"/>
    <w:rsid w:val="009416BF"/>
    <w:rsid w:val="00956C22"/>
    <w:rsid w:val="0095740F"/>
    <w:rsid w:val="009658B9"/>
    <w:rsid w:val="00996647"/>
    <w:rsid w:val="009B6741"/>
    <w:rsid w:val="009D5DFD"/>
    <w:rsid w:val="00A37E50"/>
    <w:rsid w:val="00A770A2"/>
    <w:rsid w:val="00AD2881"/>
    <w:rsid w:val="00AE1059"/>
    <w:rsid w:val="00B14C48"/>
    <w:rsid w:val="00B24518"/>
    <w:rsid w:val="00B65317"/>
    <w:rsid w:val="00B877DE"/>
    <w:rsid w:val="00B94A7F"/>
    <w:rsid w:val="00BB45B6"/>
    <w:rsid w:val="00BC76FA"/>
    <w:rsid w:val="00BD423A"/>
    <w:rsid w:val="00BF2C86"/>
    <w:rsid w:val="00BF6B1B"/>
    <w:rsid w:val="00C35549"/>
    <w:rsid w:val="00C47789"/>
    <w:rsid w:val="00C609C9"/>
    <w:rsid w:val="00C9012A"/>
    <w:rsid w:val="00D35E7D"/>
    <w:rsid w:val="00D84B57"/>
    <w:rsid w:val="00D95C33"/>
    <w:rsid w:val="00DF1445"/>
    <w:rsid w:val="00E0410C"/>
    <w:rsid w:val="00E04EA3"/>
    <w:rsid w:val="00E30074"/>
    <w:rsid w:val="00E74CB9"/>
    <w:rsid w:val="00E85B8A"/>
    <w:rsid w:val="00EF1A4C"/>
    <w:rsid w:val="00F021A4"/>
    <w:rsid w:val="00F0464E"/>
    <w:rsid w:val="00F21D1F"/>
    <w:rsid w:val="00F615DA"/>
    <w:rsid w:val="00F64D29"/>
    <w:rsid w:val="00F73007"/>
    <w:rsid w:val="00F94D9F"/>
    <w:rsid w:val="00FB1CFB"/>
    <w:rsid w:val="0D7605AE"/>
    <w:rsid w:val="1F76AB7C"/>
    <w:rsid w:val="23CFC405"/>
    <w:rsid w:val="29C66B72"/>
    <w:rsid w:val="3705201C"/>
    <w:rsid w:val="3C831719"/>
    <w:rsid w:val="3F3F871E"/>
    <w:rsid w:val="48B64B42"/>
    <w:rsid w:val="529C2490"/>
    <w:rsid w:val="5AF9F343"/>
    <w:rsid w:val="6DF20E71"/>
    <w:rsid w:val="733C4E67"/>
    <w:rsid w:val="776A56B6"/>
    <w:rsid w:val="DDE2F50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 w:hAns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 w:hAnsi="??" w:eastAsia="宋体" w:cs="Times New Roman"/>
      <w:kern w:val="2"/>
      <w:sz w:val="21"/>
      <w:szCs w:val="22"/>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qFormat/>
    <w:locked/>
    <w:uiPriority w:val="99"/>
    <w:rPr>
      <w:rFonts w:cs="Times New Roman"/>
      <w:sz w:val="18"/>
      <w:szCs w:val="18"/>
    </w:rPr>
  </w:style>
  <w:style w:type="character" w:customStyle="1" w:styleId="7">
    <w:name w:val="Header Char"/>
    <w:basedOn w:val="5"/>
    <w:link w:val="3"/>
    <w:qFormat/>
    <w:locked/>
    <w:uiPriority w:val="99"/>
    <w:rPr>
      <w:rFonts w:cs="Times New Roman"/>
      <w:sz w:val="18"/>
      <w:szCs w:val="18"/>
    </w:rPr>
  </w:style>
  <w:style w:type="character" w:customStyle="1" w:styleId="8">
    <w:name w:val="NormalCharacter"/>
    <w:qFormat/>
    <w:uiPriority w:val="99"/>
    <w:rPr>
      <w:rFonts w:ascii="Times New Roman" w:hAnsi="Times New Roman" w:eastAsia="宋体"/>
      <w:kern w:val="2"/>
      <w:sz w:val="24"/>
      <w:lang w:val="en-US"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HP Inc.</Company>
  <Pages>3</Pages>
  <Words>635</Words>
  <Characters>1068</Characters>
  <Lines>0</Lines>
  <Paragraphs>0</Paragraphs>
  <TotalTime>5</TotalTime>
  <ScaleCrop>false</ScaleCrop>
  <LinksUpToDate>false</LinksUpToDate>
  <CharactersWithSpaces>1223</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2023-02-16T18:11:00Z</dcterms:created>
  <dc:creator>国土资源</dc:creator>
  <cp:lastModifiedBy>潘世青</cp:lastModifiedBy>
  <cp:lastPrinted>2023-04-04T22:20:00Z</cp:lastPrinted>
  <dcterms:modified xsi:type="dcterms:W3CDTF">2025-11-06T14:23:10Z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E360DDABBB3FDEEBD16191686B475E3B</vt:lpwstr>
  </property>
  <property fmtid="{D5CDD505-2E9C-101B-9397-08002B2CF9AE}" pid="4" name="KSOTemplateDocerSaveRecord">
    <vt:lpwstr>eyJoZGlkIjoiZjVhNGJiMWVmZTg4ZjFhYWZhYWFiMzBkODkwYWRkZmUiLCJ1c2VySWQiOiI2MTA2NTY0NTEifQ==</vt:lpwstr>
  </property>
</Properties>
</file>