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w:t>
      </w:r>
      <w:r>
        <w:rPr>
          <w:rFonts w:hint="eastAsia" w:ascii="Times New Roman" w:hAnsi="Times New Roman" w:eastAsia="方正小标宋_GBK" w:cs="Times New Roman"/>
          <w:sz w:val="44"/>
          <w:szCs w:val="24"/>
          <w:lang w:eastAsia="zh-CN"/>
        </w:rPr>
        <w:t>垫江县</w:t>
      </w:r>
      <w:r>
        <w:rPr>
          <w:rFonts w:ascii="Times New Roman" w:hAnsi="Times New Roman" w:eastAsia="方正小标宋_GBK" w:cs="Times New Roman"/>
          <w:sz w:val="44"/>
          <w:szCs w:val="24"/>
        </w:rPr>
        <w:t>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ascii="Times New Roman" w:hAnsi="Times New Roman" w:eastAsia="楷体_GB2312" w:cs="Times New Roman"/>
          <w:sz w:val="32"/>
          <w:szCs w:val="24"/>
        </w:rPr>
      </w:pPr>
      <w:r>
        <w:rPr>
          <w:rFonts w:hint="eastAsia" w:ascii="Times New Roman" w:hAnsi="Times New Roman" w:eastAsia="楷体_GB2312" w:cs="Times New Roman"/>
          <w:sz w:val="32"/>
          <w:szCs w:val="24"/>
          <w:lang w:eastAsia="zh-CN"/>
        </w:rPr>
        <w:t>垫</w:t>
      </w:r>
      <w:r>
        <w:rPr>
          <w:rFonts w:ascii="Times New Roman" w:hAnsi="Times New Roman" w:eastAsia="楷体_GB2312" w:cs="Times New Roman"/>
          <w:sz w:val="32"/>
          <w:szCs w:val="24"/>
        </w:rPr>
        <w:t>采矿出字〔    〕第</w:t>
      </w:r>
      <w:r>
        <w:rPr>
          <w:rFonts w:ascii="Times New Roman" w:hAnsi="Times New Roman" w:eastAsia="楷体_GB2312" w:cs="Times New Roman"/>
          <w:sz w:val="32"/>
          <w:szCs w:val="24"/>
          <w:u w:val="single"/>
        </w:rPr>
        <w:t xml:space="preserve">  </w:t>
      </w:r>
      <w:r>
        <w:rPr>
          <w:rFonts w:ascii="Times New Roman" w:hAnsi="Times New Roman" w:eastAsia="楷体_GB2312" w:cs="Times New Roman"/>
          <w:sz w:val="32"/>
          <w:szCs w:val="24"/>
        </w:rPr>
        <w:t>号</w:t>
      </w:r>
    </w:p>
    <w:p>
      <w:pPr>
        <w:spacing w:line="560" w:lineRule="exact"/>
        <w:rPr>
          <w:rFonts w:ascii="Times New Roman" w:hAnsi="Times New Roman" w:eastAsia="仿宋_GB2312" w:cs="Times New Roman"/>
          <w:sz w:val="32"/>
          <w:szCs w:val="24"/>
        </w:rPr>
      </w:pPr>
    </w:p>
    <w:p>
      <w:pPr>
        <w:bidi w:val="0"/>
        <w:rPr>
          <w:sz w:val="32"/>
          <w:szCs w:val="32"/>
        </w:rPr>
      </w:pPr>
      <w:r>
        <w:rPr>
          <w:sz w:val="32"/>
          <w:szCs w:val="32"/>
        </w:rPr>
        <w:t>出  让  方：</w:t>
      </w:r>
      <w:r>
        <w:rPr>
          <w:rFonts w:hint="eastAsia"/>
          <w:sz w:val="32"/>
          <w:szCs w:val="32"/>
          <w:lang w:eastAsia="zh-CN"/>
        </w:rPr>
        <w:t>垫江县</w:t>
      </w:r>
      <w:r>
        <w:rPr>
          <w:sz w:val="32"/>
          <w:szCs w:val="32"/>
        </w:rPr>
        <w:t>规划和自然资源局</w:t>
      </w:r>
    </w:p>
    <w:p>
      <w:pPr>
        <w:bidi w:val="0"/>
        <w:rPr>
          <w:rFonts w:hint="eastAsia"/>
          <w:sz w:val="32"/>
          <w:szCs w:val="32"/>
          <w:lang w:val="en-US" w:eastAsia="zh-CN"/>
        </w:rPr>
      </w:pPr>
      <w:r>
        <w:rPr>
          <w:sz w:val="32"/>
          <w:szCs w:val="32"/>
        </w:rPr>
        <w:t>通</w:t>
      </w:r>
      <w:r>
        <w:rPr>
          <w:rFonts w:hint="eastAsia"/>
          <w:sz w:val="32"/>
          <w:szCs w:val="32"/>
          <w:lang w:val="en-US" w:eastAsia="zh-CN"/>
        </w:rPr>
        <w:t xml:space="preserve"> </w:t>
      </w:r>
      <w:r>
        <w:rPr>
          <w:sz w:val="32"/>
          <w:szCs w:val="32"/>
        </w:rPr>
        <w:t>讯</w:t>
      </w:r>
      <w:r>
        <w:rPr>
          <w:rFonts w:hint="eastAsia"/>
          <w:sz w:val="32"/>
          <w:szCs w:val="32"/>
          <w:lang w:val="en-US" w:eastAsia="zh-CN"/>
        </w:rPr>
        <w:t xml:space="preserve"> </w:t>
      </w:r>
      <w:r>
        <w:rPr>
          <w:sz w:val="32"/>
          <w:szCs w:val="32"/>
        </w:rPr>
        <w:t>地址：重庆市</w:t>
      </w:r>
      <w:r>
        <w:rPr>
          <w:rFonts w:hint="eastAsia"/>
          <w:sz w:val="32"/>
          <w:szCs w:val="32"/>
          <w:lang w:eastAsia="zh-CN"/>
        </w:rPr>
        <w:t>垫江县桂阳街道桂西大道南段</w:t>
      </w:r>
      <w:r>
        <w:rPr>
          <w:rFonts w:hint="eastAsia"/>
          <w:sz w:val="32"/>
          <w:szCs w:val="32"/>
          <w:lang w:val="en-US" w:eastAsia="zh-CN"/>
        </w:rPr>
        <w:t xml:space="preserve">218号 </w:t>
      </w:r>
    </w:p>
    <w:p>
      <w:pPr>
        <w:bidi w:val="0"/>
        <w:rPr>
          <w:sz w:val="32"/>
          <w:szCs w:val="32"/>
        </w:rPr>
      </w:pPr>
      <w:r>
        <w:rPr>
          <w:sz w:val="32"/>
          <w:szCs w:val="32"/>
        </w:rPr>
        <w:t>法定代表人：</w:t>
      </w:r>
      <w:r>
        <w:rPr>
          <w:rFonts w:hint="eastAsia"/>
          <w:sz w:val="32"/>
          <w:szCs w:val="32"/>
          <w:lang w:eastAsia="zh-CN"/>
        </w:rPr>
        <w:t>夏育林</w:t>
      </w:r>
      <w:r>
        <w:rPr>
          <w:sz w:val="32"/>
          <w:szCs w:val="32"/>
        </w:rPr>
        <w:t xml:space="preserve">        职   务：局  长</w:t>
      </w:r>
    </w:p>
    <w:p>
      <w:pPr>
        <w:bidi w:val="0"/>
        <w:rPr>
          <w:sz w:val="32"/>
          <w:szCs w:val="32"/>
        </w:rPr>
      </w:pPr>
    </w:p>
    <w:p>
      <w:pPr>
        <w:bidi w:val="0"/>
        <w:rPr>
          <w:sz w:val="32"/>
          <w:szCs w:val="32"/>
        </w:rPr>
      </w:pPr>
      <w:r>
        <w:rPr>
          <w:sz w:val="32"/>
          <w:szCs w:val="32"/>
        </w:rPr>
        <w:t xml:space="preserve">受  让  方： </w:t>
      </w:r>
    </w:p>
    <w:p>
      <w:pPr>
        <w:bidi w:val="0"/>
        <w:rPr>
          <w:sz w:val="32"/>
          <w:szCs w:val="32"/>
        </w:rPr>
      </w:pPr>
      <w:r>
        <w:rPr>
          <w:sz w:val="32"/>
          <w:szCs w:val="32"/>
        </w:rPr>
        <w:t xml:space="preserve">通讯地址： </w:t>
      </w:r>
    </w:p>
    <w:p>
      <w:pPr>
        <w:bidi w:val="0"/>
        <w:rPr>
          <w:sz w:val="32"/>
          <w:szCs w:val="32"/>
        </w:rPr>
      </w:pPr>
      <w:r>
        <w:rPr>
          <w:sz w:val="32"/>
          <w:szCs w:val="32"/>
        </w:rPr>
        <w:t xml:space="preserve">法定代表人：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根据《中华人民共和国矿产资源法》、《中华人民共和国合同法》、《重庆市矿产资源管理条例》等有关法律法规规定，双方本着平等、自愿、公平、诚实信用的原则，依法订立本合同。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iCs/>
          <w:spacing w:val="-6"/>
          <w:sz w:val="32"/>
          <w:szCs w:val="32"/>
        </w:rPr>
        <w:t xml:space="preserve">  受让方通过下列第</w:t>
      </w:r>
      <w:r>
        <w:rPr>
          <w:rFonts w:ascii="Times New Roman" w:hAnsi="Times New Roman" w:eastAsia="仿宋_GB2312" w:cs="Times New Roman"/>
          <w:iCs/>
          <w:spacing w:val="-6"/>
          <w:sz w:val="32"/>
          <w:szCs w:val="32"/>
          <w:u w:val="single"/>
        </w:rPr>
        <w:t xml:space="preserve">   </w:t>
      </w:r>
      <w:r>
        <w:rPr>
          <w:rFonts w:ascii="Times New Roman" w:hAnsi="Times New Roman" w:eastAsia="仿宋_GB2312" w:cs="Times New Roman"/>
          <w:iCs/>
          <w:spacing w:val="-6"/>
          <w:sz w:val="32"/>
          <w:szCs w:val="32"/>
        </w:rPr>
        <w:t>种方式取得：</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1、公开出让</w:t>
      </w:r>
    </w:p>
    <w:p>
      <w:pPr>
        <w:spacing w:line="540" w:lineRule="exact"/>
        <w:ind w:firstLine="608"/>
        <w:rPr>
          <w:rFonts w:ascii="Times New Roman" w:hAnsi="Times New Roman" w:eastAsia="仿宋_GB2312" w:cs="Times New Roman"/>
          <w:iCs/>
          <w:spacing w:val="-6"/>
          <w:sz w:val="32"/>
          <w:szCs w:val="32"/>
          <w:u w:val="single"/>
        </w:rPr>
      </w:pPr>
      <w:r>
        <w:rPr>
          <w:rFonts w:ascii="Times New Roman" w:hAnsi="Times New Roman" w:eastAsia="仿宋_GB2312" w:cs="Times New Roman"/>
          <w:iCs/>
          <w:spacing w:val="-6"/>
          <w:sz w:val="32"/>
          <w:szCs w:val="32"/>
        </w:rPr>
        <w:t>出让方式：</w:t>
      </w:r>
      <w:r>
        <w:rPr>
          <w:rFonts w:hint="eastAsia" w:ascii="Times New Roman" w:hAnsi="Times New Roman" w:eastAsia="仿宋_GB2312" w:cs="Times New Roman"/>
          <w:iCs/>
          <w:spacing w:val="-6"/>
          <w:sz w:val="32"/>
          <w:szCs w:val="32"/>
          <w:u w:val="single"/>
        </w:rPr>
        <w:t xml:space="preserve">      </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矿业权交易机构：</w:t>
      </w:r>
      <w:r>
        <w:rPr>
          <w:rFonts w:hint="eastAsia" w:ascii="Times New Roman" w:hAnsi="Times New Roman" w:eastAsia="仿宋_GB2312" w:cs="Times New Roman"/>
          <w:iCs/>
          <w:spacing w:val="-6"/>
          <w:sz w:val="32"/>
          <w:szCs w:val="32"/>
          <w:u w:val="single"/>
        </w:rPr>
        <w:t xml:space="preserve"> </w:t>
      </w:r>
      <w:r>
        <w:rPr>
          <w:rFonts w:ascii="Times New Roman" w:hAnsi="Times New Roman" w:eastAsia="仿宋_GB2312" w:cs="Times New Roman"/>
          <w:iCs/>
          <w:spacing w:val="-6"/>
          <w:sz w:val="32"/>
          <w:szCs w:val="32"/>
          <w:u w:val="single"/>
        </w:rPr>
        <w:t xml:space="preserve">                </w:t>
      </w:r>
    </w:p>
    <w:p>
      <w:pPr>
        <w:spacing w:line="540" w:lineRule="exact"/>
        <w:ind w:firstLine="608"/>
        <w:rPr>
          <w:rFonts w:ascii="Times New Roman" w:hAnsi="Times New Roman" w:eastAsia="仿宋_GB2312" w:cs="Times New Roman"/>
          <w:iCs/>
          <w:spacing w:val="-6"/>
          <w:sz w:val="32"/>
          <w:szCs w:val="32"/>
          <w:u w:val="single"/>
        </w:rPr>
      </w:pPr>
      <w:r>
        <w:rPr>
          <w:rFonts w:ascii="Times New Roman" w:hAnsi="Times New Roman" w:eastAsia="仿宋_GB2312" w:cs="Times New Roman"/>
          <w:iCs/>
          <w:spacing w:val="-6"/>
          <w:sz w:val="32"/>
          <w:szCs w:val="32"/>
        </w:rPr>
        <w:t>交易机构法定代表人：</w:t>
      </w:r>
      <w:r>
        <w:rPr>
          <w:rFonts w:hint="eastAsia" w:ascii="Times New Roman" w:hAnsi="Times New Roman" w:eastAsia="仿宋_GB2312" w:cs="Times New Roman"/>
          <w:iCs/>
          <w:spacing w:val="-6"/>
          <w:sz w:val="32"/>
          <w:szCs w:val="32"/>
          <w:u w:val="single"/>
        </w:rPr>
        <w:t xml:space="preserve">     </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交易地点：</w:t>
      </w:r>
      <w:r>
        <w:rPr>
          <w:rFonts w:hint="eastAsia" w:ascii="Times New Roman" w:hAnsi="Times New Roman" w:eastAsia="仿宋_GB2312" w:cs="Times New Roman"/>
          <w:iCs/>
          <w:spacing w:val="-6"/>
          <w:sz w:val="32"/>
          <w:szCs w:val="32"/>
          <w:u w:val="single"/>
        </w:rPr>
        <w:t xml:space="preserve">      </w:t>
      </w:r>
      <w:r>
        <w:rPr>
          <w:rFonts w:ascii="Times New Roman" w:hAnsi="Times New Roman" w:eastAsia="仿宋_GB2312" w:cs="Times New Roman"/>
          <w:iCs/>
          <w:spacing w:val="-6"/>
          <w:sz w:val="32"/>
          <w:szCs w:val="32"/>
        </w:rPr>
        <w:t xml:space="preserve"> </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2、探矿权转采矿权</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3、协议出让</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rPr>
        <w:t>，矿区面积</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出让矿种为</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矿，资源储量</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万吨。矿区范围拐点坐标表</w:t>
      </w:r>
      <w:r>
        <w:rPr>
          <w:rFonts w:hint="eastAsia" w:ascii="Times New Roman" w:hAnsi="Times New Roman" w:eastAsia="仿宋_GB2312" w:cs="Times New Roman"/>
          <w:sz w:val="32"/>
          <w:szCs w:val="32"/>
        </w:rPr>
        <w:t>如下（2000坐标系）：</w:t>
      </w: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07"/>
        <w:gridCol w:w="1966"/>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方正仿宋_GBK" w:hAnsi="方正仿宋_GBK" w:eastAsia="方正仿宋_GBK" w:cs="方正仿宋_GBK"/>
                <w:color w:val="000000"/>
                <w:kern w:val="0"/>
                <w:sz w:val="20"/>
                <w:szCs w:val="20"/>
                <w:lang w:bidi="ar"/>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方正仿宋_GBK" w:hAnsi="方正仿宋_GBK" w:eastAsia="方正仿宋_GBK" w:cs="方正仿宋_GBK"/>
                <w:color w:val="000000"/>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自签订采矿权出让合同之日起计算（自</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日起至</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日止）。</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hint="eastAsia" w:ascii="Times New Roman" w:hAnsi="Times New Roman" w:eastAsia="仿宋_GB2312" w:cs="Times New Roman"/>
          <w:spacing w:val="-6"/>
          <w:sz w:val="32"/>
          <w:szCs w:val="32"/>
          <w:lang w:val="en-US" w:eastAsia="zh-CN"/>
        </w:rPr>
        <w:t>15</w:t>
      </w:r>
      <w:r>
        <w:rPr>
          <w:rFonts w:ascii="Times New Roman" w:hAnsi="Times New Roman" w:eastAsia="仿宋" w:cs="Times New Roman"/>
          <w:spacing w:val="-6"/>
          <w:sz w:val="32"/>
          <w:szCs w:val="32"/>
          <w:u w:val="single"/>
        </w:rPr>
        <w:t>个工作</w:t>
      </w:r>
      <w:r>
        <w:rPr>
          <w:rFonts w:ascii="Times New Roman" w:hAnsi="Times New Roman" w:eastAsia="仿宋_GB2312" w:cs="Times New Roman"/>
          <w:spacing w:val="-6"/>
          <w:sz w:val="32"/>
          <w:szCs w:val="32"/>
          <w:u w:val="single"/>
        </w:rPr>
        <w:t>日</w:t>
      </w:r>
      <w:r>
        <w:rPr>
          <w:rFonts w:ascii="Times New Roman" w:hAnsi="Times New Roman" w:eastAsia="仿宋_GB2312" w:cs="Times New Roman"/>
          <w:spacing w:val="-6"/>
          <w:sz w:val="32"/>
          <w:szCs w:val="32"/>
        </w:rPr>
        <w:t>内，缴清采矿权出让收益人民币大写</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期向出让方支付采矿权出让收益：</w:t>
      </w:r>
    </w:p>
    <w:p>
      <w:pPr>
        <w:spacing w:line="52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首次缴纳采矿权出让收益人民币大写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万元）。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受让方应在本合同签订之日起6个月内持本合同、采矿权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ascii="Times New Roman" w:hAnsi="Times New Roman" w:eastAsia="仿宋_GB2312" w:cs="Times New Roman"/>
          <w:spacing w:val="-6"/>
          <w:sz w:val="32"/>
          <w:szCs w:val="32"/>
        </w:rPr>
        <w:t>受让方在申请采矿登记前，应按照国家和重庆市绿色矿山建设标准，委托或自行编制《绿色矿山建设实施方案》，经受让方加盖印章、法定代表人和技术负责人签字，</w:t>
      </w:r>
      <w:r>
        <w:rPr>
          <w:rFonts w:hint="eastAsia" w:ascii="Times New Roman" w:hAnsi="Times New Roman" w:eastAsia="仿宋_GB2312" w:cs="Times New Roman"/>
          <w:spacing w:val="-6"/>
          <w:sz w:val="32"/>
          <w:szCs w:val="32"/>
          <w:lang w:eastAsia="zh-CN"/>
        </w:rPr>
        <w:t>报出让方</w:t>
      </w:r>
      <w:r>
        <w:rPr>
          <w:rFonts w:ascii="Times New Roman" w:hAnsi="Times New Roman" w:eastAsia="仿宋_GB2312" w:cs="Times New Roman"/>
          <w:spacing w:val="-6"/>
          <w:sz w:val="32"/>
          <w:szCs w:val="32"/>
        </w:rPr>
        <w:t>备</w:t>
      </w:r>
      <w:r>
        <w:rPr>
          <w:rFonts w:hint="eastAsia" w:ascii="Times New Roman" w:hAnsi="Times New Roman" w:eastAsia="仿宋_GB2312" w:cs="Times New Roman"/>
          <w:spacing w:val="-6"/>
          <w:sz w:val="32"/>
          <w:szCs w:val="32"/>
          <w:lang w:eastAsia="zh-CN"/>
        </w:rPr>
        <w:t>案</w:t>
      </w:r>
      <w:r>
        <w:rPr>
          <w:rFonts w:ascii="Times New Roman" w:hAnsi="Times New Roman" w:eastAsia="仿宋_GB2312" w:cs="Times New Roman"/>
          <w:spacing w:val="-6"/>
          <w:sz w:val="32"/>
          <w:szCs w:val="32"/>
        </w:rPr>
        <w:t>，作为接受监督检查和第三方评估的依据。</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ascii="Times New Roman" w:hAnsi="Times New Roman" w:eastAsia="仿宋_GB2312" w:cs="Times New Roman"/>
          <w:spacing w:val="-6"/>
          <w:sz w:val="32"/>
          <w:szCs w:val="32"/>
        </w:rPr>
        <w:t>受让方应按照《绿色矿山建设实施方案》确定的建设内容和建设时序，开展绿色矿山建设，矿山企业投产时，同步建成绿色矿山并通过绿色矿山第三方评估</w:t>
      </w:r>
      <w:r>
        <w:rPr>
          <w:rFonts w:hint="eastAsia" w:ascii="Times New Roman" w:hAnsi="Times New Roman" w:eastAsia="仿宋_GB2312" w:cs="Times New Roman"/>
          <w:spacing w:val="-6"/>
          <w:sz w:val="32"/>
          <w:szCs w:val="32"/>
        </w:rPr>
        <w:t>。</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适用于新建矿山</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受让方应按照《绿色矿山建设实施方案》确定的建设内容和建设时序，开展绿色矿山建设，</w:t>
      </w:r>
      <w:r>
        <w:rPr>
          <w:rFonts w:hint="eastAsia" w:ascii="Times New Roman" w:hAnsi="Times New Roman" w:eastAsia="仿宋_GB2312" w:cs="Times New Roman"/>
          <w:spacing w:val="-6"/>
          <w:sz w:val="32"/>
          <w:szCs w:val="32"/>
        </w:rPr>
        <w:t>于</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rPr>
        <w:t>前建成绿色矿山并通过绿色矿山第三方评估。（</w:t>
      </w:r>
      <w:r>
        <w:rPr>
          <w:rFonts w:hint="eastAsia" w:ascii="Times New Roman" w:hAnsi="Times New Roman" w:eastAsia="仿宋_GB2312" w:cs="Times New Roman"/>
          <w:spacing w:val="-6"/>
          <w:sz w:val="32"/>
          <w:szCs w:val="32"/>
        </w:rPr>
        <w:t>适用于已建矿山</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受让方取得采矿许可证、投入采矿生产满一年后，可以将本合同约定的采矿权依法进行转让；如需将该宗采矿权进行抵押的，应按照本合同约定缴清全部采矿权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第十一条 </w:t>
      </w: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第十二条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第十三条</w:t>
      </w:r>
      <w:r>
        <w:rPr>
          <w:rFonts w:ascii="Times New Roman" w:hAnsi="Times New Roman" w:eastAsia="仿宋_GB2312" w:cs="Times New Roman"/>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第十四条</w:t>
      </w:r>
      <w:r>
        <w:rPr>
          <w:rFonts w:ascii="Times New Roman" w:hAnsi="Times New Roman" w:eastAsia="仿宋_GB2312" w:cs="Times New Roman"/>
          <w:spacing w:val="-6"/>
          <w:sz w:val="32"/>
          <w:szCs w:val="32"/>
        </w:rPr>
        <w:t xml:space="preserve">  在采矿权出让年限内，国家和重庆市政府有新的规定时，按新规定执行。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第十五条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第十六条</w:t>
      </w:r>
      <w:r>
        <w:rPr>
          <w:rFonts w:ascii="Times New Roman" w:hAnsi="Times New Roman" w:eastAsia="仿宋_GB2312" w:cs="Times New Roman"/>
          <w:spacing w:val="-6"/>
          <w:sz w:val="32"/>
          <w:szCs w:val="32"/>
        </w:rPr>
        <w:t xml:space="preserve">  受让方未在本合同约定时间内，按照法律法规规定的要件资料申请采矿登记的，出让方有权解除合同，不退还受让方已缴纳的采矿权出让收益。双方另有约定的除外。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的2‰按日向受让方支付违约金。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延期颁发采矿许可证超过6个月，受让方有权解除合同，出让方应返还受让方已缴纳的采矿权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第十七条</w:t>
      </w:r>
      <w:r>
        <w:rPr>
          <w:rFonts w:ascii="Times New Roman" w:hAnsi="Times New Roman" w:eastAsia="仿宋_GB2312" w:cs="Times New Roman"/>
          <w:spacing w:val="-6"/>
          <w:sz w:val="32"/>
          <w:szCs w:val="32"/>
        </w:rPr>
        <w:t xml:space="preserve">  受让方应当自领取采矿许可证之日起一年内进行建设或生产。逾期未进行建设和生产的，出让方可以依法无偿收回采矿权。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第十八条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第十九条 </w:t>
      </w:r>
      <w:r>
        <w:rPr>
          <w:rFonts w:ascii="Times New Roman" w:hAnsi="Times New Roman" w:eastAsia="仿宋_GB2312" w:cs="Times New Roman"/>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第二十一条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第二十二条</w:t>
      </w:r>
      <w:r>
        <w:rPr>
          <w:rFonts w:ascii="Times New Roman" w:hAnsi="Times New Roman" w:eastAsia="仿宋_GB2312" w:cs="Times New Roman"/>
          <w:spacing w:val="-6"/>
          <w:sz w:val="32"/>
          <w:szCs w:val="32"/>
        </w:rPr>
        <w:t xml:space="preserve">  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第二十三条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第二十四条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第二十五条 </w:t>
      </w:r>
      <w:r>
        <w:rPr>
          <w:rFonts w:ascii="Times New Roman" w:hAnsi="Times New Roman" w:eastAsia="仿宋_GB2312" w:cs="Times New Roman"/>
          <w:spacing w:val="-6"/>
          <w:sz w:val="32"/>
          <w:szCs w:val="32"/>
        </w:rPr>
        <w:t xml:space="preserve"> 本合同经双方法定代表人或其授权委托代理人签字（章）后生效。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第二十六条 </w:t>
      </w:r>
      <w:r>
        <w:rPr>
          <w:rFonts w:ascii="Times New Roman" w:hAnsi="Times New Roman" w:eastAsia="仿宋_GB2312" w:cs="Times New Roman"/>
          <w:spacing w:val="-6"/>
          <w:sz w:val="32"/>
          <w:szCs w:val="32"/>
        </w:rPr>
        <w:t xml:space="preserve"> 本合同采用汉字书写，一式陆份，具有同等法律效力，双方各执叁份。</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第二十七条</w:t>
      </w:r>
      <w:r>
        <w:rPr>
          <w:rFonts w:ascii="Times New Roman" w:hAnsi="Times New Roman" w:eastAsia="仿宋_GB2312" w:cs="Times New Roman"/>
          <w:spacing w:val="-6"/>
          <w:sz w:val="32"/>
          <w:szCs w:val="32"/>
        </w:rPr>
        <w:t xml:space="preserve">  本合同于</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日在</w:t>
      </w:r>
      <w:r>
        <w:rPr>
          <w:rFonts w:hint="eastAsia" w:ascii="Times New Roman" w:hAnsi="Times New Roman" w:eastAsia="仿宋_GB2312" w:cs="Times New Roman"/>
          <w:spacing w:val="-6"/>
          <w:sz w:val="32"/>
          <w:szCs w:val="32"/>
          <w:lang w:eastAsia="zh-CN"/>
        </w:rPr>
        <w:t>垫江县</w:t>
      </w:r>
      <w:r>
        <w:rPr>
          <w:rFonts w:ascii="Times New Roman" w:hAnsi="Times New Roman" w:eastAsia="仿宋_GB2312" w:cs="Times New Roman"/>
          <w:spacing w:val="-6"/>
          <w:sz w:val="32"/>
          <w:szCs w:val="32"/>
        </w:rPr>
        <w:t>规划和自然资源局签订。</w:t>
      </w:r>
    </w:p>
    <w:p>
      <w:pPr>
        <w:spacing w:line="520" w:lineRule="exact"/>
        <w:ind w:firstLine="608"/>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ascii="Times New Roman" w:hAnsi="Times New Roman" w:eastAsia="仿宋_GB2312" w:cs="Times New Roman"/>
          <w:spacing w:val="-20"/>
          <w:sz w:val="32"/>
          <w:szCs w:val="32"/>
        </w:rPr>
      </w:pPr>
      <w:r>
        <w:rPr>
          <w:rFonts w:hint="eastAsia" w:ascii="Times New Roman" w:hAnsi="Times New Roman" w:eastAsia="仿宋_GB2312" w:cs="Times New Roman"/>
          <w:spacing w:val="-6"/>
          <w:sz w:val="32"/>
          <w:szCs w:val="32"/>
          <w:lang w:eastAsia="zh-CN"/>
        </w:rPr>
        <w:t>垫江县</w:t>
      </w:r>
      <w:r>
        <w:rPr>
          <w:rFonts w:ascii="Times New Roman" w:hAnsi="Times New Roman" w:eastAsia="仿宋_GB2312" w:cs="Times New Roman"/>
          <w:spacing w:val="-6"/>
          <w:sz w:val="32"/>
          <w:szCs w:val="32"/>
        </w:rPr>
        <w:t xml:space="preserve">规划和自然资源局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 xml:space="preserve">（签章）  </w:t>
      </w:r>
      <w:r>
        <w:rPr>
          <w:rFonts w:ascii="Times New Roman" w:hAnsi="Times New Roman" w:eastAsia="仿宋_GB2312" w:cs="Times New Roman"/>
          <w:spacing w:val="-6"/>
          <w:sz w:val="32"/>
          <w:szCs w:val="32"/>
        </w:rPr>
        <w:t xml:space="preserve">                          </w:t>
      </w: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40</w:t>
      </w:r>
      <w:r>
        <w:rPr>
          <w:rFonts w:hint="eastAsia" w:ascii="Times New Roman" w:hAnsi="Times New Roman" w:eastAsia="仿宋_GB2312" w:cs="Times New Roman"/>
          <w:spacing w:val="-6"/>
          <w:sz w:val="32"/>
          <w:szCs w:val="32"/>
          <w:lang w:val="en-US" w:eastAsia="zh-CN"/>
        </w:rPr>
        <w:t>8300</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p>
      <w:pPr>
        <w:rPr>
          <w:rFonts w:ascii="Times New Roman" w:hAnsi="Times New Roman" w:eastAsia="方正仿宋_GBK" w:cs="Times New Roman"/>
        </w:rPr>
        <w:sectPr>
          <w:pgSz w:w="11906" w:h="16838"/>
          <w:pgMar w:top="1361" w:right="1587" w:bottom="1361" w:left="1587" w:header="851" w:footer="992" w:gutter="0"/>
          <w:cols w:space="0" w:num="1"/>
          <w:docGrid w:type="lines" w:linePitch="312" w:charSpace="0"/>
        </w:sectPr>
      </w:pPr>
      <w:bookmarkStart w:id="0" w:name="_GoBack"/>
      <w:bookmarkEnd w:id="0"/>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楷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F446E"/>
    <w:rsid w:val="05097841"/>
    <w:rsid w:val="06A61C55"/>
    <w:rsid w:val="0AB76978"/>
    <w:rsid w:val="1E1B37D4"/>
    <w:rsid w:val="25A969E4"/>
    <w:rsid w:val="3DA40B9C"/>
    <w:rsid w:val="409959EC"/>
    <w:rsid w:val="43921D24"/>
    <w:rsid w:val="4B390206"/>
    <w:rsid w:val="5201712D"/>
    <w:rsid w:val="5B2A0340"/>
    <w:rsid w:val="5F5E4351"/>
    <w:rsid w:val="61342AB0"/>
    <w:rsid w:val="71E43C02"/>
    <w:rsid w:val="76E324CE"/>
    <w:rsid w:val="78DC54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link w:val="4"/>
    <w:semiHidden/>
    <w:qFormat/>
    <w:uiPriority w:val="0"/>
    <w:rPr>
      <w:rFonts w:ascii="Verdana" w:hAnsi="Verdana" w:eastAsia="仿宋_GB2312" w:cs="Verdana"/>
      <w:color w:val="000000"/>
      <w:kern w:val="0"/>
      <w:sz w:val="24"/>
      <w:szCs w:val="21"/>
      <w:lang w:eastAsia="en-US"/>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4">
    <w:name w:val="_Style 2"/>
    <w:basedOn w:val="1"/>
    <w:link w:val="3"/>
    <w:qFormat/>
    <w:uiPriority w:val="0"/>
    <w:pPr>
      <w:widowControl/>
      <w:spacing w:after="160" w:afterLines="0" w:line="240" w:lineRule="exact"/>
      <w:jc w:val="left"/>
    </w:pPr>
    <w:rPr>
      <w:rFonts w:ascii="Verdana" w:hAnsi="Verdana" w:eastAsia="仿宋_GB2312" w:cs="Verdana"/>
      <w:color w:val="000000"/>
      <w:kern w:val="0"/>
      <w:sz w:val="24"/>
      <w:szCs w:val="21"/>
      <w:lang w:eastAsia="en-US"/>
    </w:rPr>
  </w:style>
  <w:style w:type="character" w:styleId="5">
    <w:name w:val="Strong"/>
    <w:qFormat/>
    <w:uiPriority w:val="0"/>
    <w:rPr>
      <w:b/>
      <w:bCs/>
    </w:rPr>
  </w:style>
  <w:style w:type="character" w:styleId="6">
    <w:name w:val="page number"/>
    <w:basedOn w:val="3"/>
    <w:qFormat/>
    <w:uiPriority w:val="0"/>
  </w:style>
  <w:style w:type="paragraph" w:customStyle="1" w:styleId="8">
    <w:name w:val="表格"/>
    <w:basedOn w:val="1"/>
    <w:qFormat/>
    <w:uiPriority w:val="0"/>
    <w:pPr>
      <w:spacing w:line="240" w:lineRule="auto"/>
      <w:ind w:firstLine="0" w:firstLineChars="0"/>
      <w:jc w:val="center"/>
    </w:pPr>
    <w:rPr>
      <w:rFonts w:eastAsia="仿宋_GB2312"/>
      <w:sz w:val="24"/>
    </w:rPr>
  </w:style>
  <w:style w:type="paragraph" w:customStyle="1" w:styleId="9">
    <w:name w:val="标准样式"/>
    <w:qFormat/>
    <w:uiPriority w:val="0"/>
    <w:pPr>
      <w:widowControl w:val="0"/>
      <w:spacing w:line="600" w:lineRule="exact"/>
      <w:ind w:firstLine="200" w:firstLineChars="200"/>
      <w:jc w:val="both"/>
    </w:pPr>
    <w:rPr>
      <w:rFonts w:ascii="Times New Roman" w:hAnsi="Times New Roman" w:eastAsia="宋体" w:cs="Times New Roman"/>
      <w:kern w:val="2"/>
      <w:sz w:val="28"/>
      <w:szCs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2020-06-23T07:21:45Z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