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渝矿采出字〔2021〕（城口）1号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2021年04月01日09时</w:t>
      </w:r>
      <w:r>
        <w:rPr>
          <w:rFonts w:asciiTheme="minorEastAsia" w:hAnsiTheme="minorEastAsia"/>
          <w:sz w:val="24"/>
        </w:rPr>
        <w:t>-</w:t>
      </w:r>
      <w:r>
        <w:rPr>
          <w:rFonts w:hint="eastAsia" w:asciiTheme="minorEastAsia" w:hAnsiTheme="minorEastAsia"/>
          <w:sz w:val="24"/>
        </w:rPr>
        <w:t>2021年04月29日12时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 xml:space="preserve">城口县公共资源交易中心        </w:t>
      </w:r>
      <w:r>
        <w:rPr>
          <w:rFonts w:asciiTheme="minorEastAsia" w:hAnsiTheme="minorEastAsia"/>
          <w:sz w:val="24"/>
        </w:rPr>
        <w:t>索取相关资料并进行报名。地址：</w:t>
      </w:r>
      <w:r>
        <w:rPr>
          <w:rFonts w:hint="eastAsia" w:asciiTheme="minorEastAsia" w:hAnsiTheme="minorEastAsia"/>
          <w:sz w:val="24"/>
        </w:rPr>
        <w:t>城口县葛城街道办禹田花园二楼</w:t>
      </w:r>
      <w:r>
        <w:rPr>
          <w:rFonts w:asciiTheme="minorEastAsia" w:hAnsiTheme="minorEastAsia"/>
          <w:sz w:val="24"/>
        </w:rPr>
        <w:t>，联系电话：</w:t>
      </w:r>
      <w:r>
        <w:rPr>
          <w:rFonts w:hint="eastAsia" w:asciiTheme="minorEastAsia" w:hAnsiTheme="minorEastAsia"/>
          <w:sz w:val="24"/>
        </w:rPr>
        <w:t>023-59211211</w:t>
      </w:r>
      <w:r>
        <w:rPr>
          <w:rFonts w:asciiTheme="minorEastAsia" w:hAnsiTheme="minorEastAsia"/>
          <w:sz w:val="24"/>
        </w:rPr>
        <w:t>，联系人：</w:t>
      </w:r>
      <w:r>
        <w:rPr>
          <w:rFonts w:hint="eastAsia" w:asciiTheme="minorEastAsia" w:hAnsiTheme="minorEastAsia"/>
          <w:sz w:val="24"/>
        </w:rPr>
        <w:t>庞老师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同步发布的网站：重庆市规划和自然资源局网站：http://ghzrzyj.cq.gov.cn、城口县公共资源交易中心</w:t>
      </w:r>
      <w:r>
        <w:rPr>
          <w:rFonts w:asciiTheme="minorEastAsia" w:hAnsiTheme="minorEastAsia"/>
          <w:sz w:val="24"/>
        </w:rPr>
        <w:t>网站：</w:t>
      </w:r>
      <w:r>
        <w:rPr>
          <w:rFonts w:hint="eastAsia" w:asciiTheme="minorEastAsia" w:hAnsiTheme="minorEastAsia"/>
          <w:sz w:val="24"/>
        </w:rPr>
        <w:t xml:space="preserve">http://www.cqggzy.com/chengkouweb/、其他渠道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CKGC202101</w:t>
            </w:r>
          </w:p>
        </w:tc>
        <w:tc>
          <w:tcPr>
            <w:tcW w:w="1510" w:type="dxa"/>
            <w:vAlign w:val="center"/>
          </w:tcPr>
          <w:p>
            <w:pPr>
              <w:jc w:val="center"/>
              <w:rPr>
                <w:rFonts w:ascii="Times New Roman" w:hAnsi="Times New Roman"/>
                <w:szCs w:val="21"/>
              </w:rPr>
            </w:pPr>
            <w:r>
              <w:rPr>
                <w:rFonts w:hint="eastAsia" w:ascii="Times New Roman" w:hAnsi="Times New Roman"/>
                <w:szCs w:val="21"/>
              </w:rPr>
              <w:t>城口县修齐镇茅坡子二井锰矿</w:t>
            </w:r>
          </w:p>
        </w:tc>
        <w:tc>
          <w:tcPr>
            <w:tcW w:w="1103" w:type="dxa"/>
            <w:vAlign w:val="center"/>
          </w:tcPr>
          <w:p>
            <w:pPr>
              <w:jc w:val="center"/>
              <w:rPr>
                <w:rFonts w:ascii="Times New Roman" w:hAnsi="Times New Roman"/>
                <w:szCs w:val="21"/>
              </w:rPr>
            </w:pPr>
            <w:r>
              <w:rPr>
                <w:rFonts w:hint="eastAsia" w:ascii="Times New Roman" w:hAnsi="Times New Roman"/>
                <w:szCs w:val="21"/>
              </w:rPr>
              <w:t>重庆市城口县修齐镇</w:t>
            </w:r>
          </w:p>
        </w:tc>
        <w:tc>
          <w:tcPr>
            <w:tcW w:w="1080" w:type="dxa"/>
            <w:vAlign w:val="center"/>
          </w:tcPr>
          <w:p>
            <w:pPr>
              <w:jc w:val="center"/>
              <w:rPr>
                <w:rFonts w:ascii="Times New Roman" w:hAnsi="Times New Roman"/>
                <w:szCs w:val="21"/>
              </w:rPr>
            </w:pPr>
            <w:r>
              <w:rPr>
                <w:rFonts w:hint="eastAsia" w:ascii="Times New Roman" w:hAnsi="Times New Roman"/>
                <w:szCs w:val="21"/>
              </w:rPr>
              <w:t>锰矿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38.3万吨</w:t>
            </w:r>
          </w:p>
        </w:tc>
        <w:tc>
          <w:tcPr>
            <w:tcW w:w="1343" w:type="dxa"/>
            <w:vAlign w:val="center"/>
          </w:tcPr>
          <w:p>
            <w:pPr>
              <w:jc w:val="center"/>
              <w:rPr>
                <w:rFonts w:ascii="Times New Roman" w:hAnsi="Times New Roman"/>
                <w:szCs w:val="21"/>
              </w:rPr>
            </w:pPr>
            <w:r>
              <w:rPr>
                <w:rFonts w:hint="eastAsia" w:ascii="Times New Roman" w:hAnsi="Times New Roman"/>
                <w:szCs w:val="21"/>
              </w:rPr>
              <w:t>0.3672</w:t>
            </w:r>
          </w:p>
        </w:tc>
        <w:tc>
          <w:tcPr>
            <w:tcW w:w="1140" w:type="dxa"/>
            <w:vAlign w:val="center"/>
          </w:tcPr>
          <w:p>
            <w:pPr>
              <w:jc w:val="center"/>
              <w:rPr>
                <w:rFonts w:ascii="Times New Roman" w:hAnsi="Times New Roman"/>
              </w:rPr>
            </w:pPr>
            <w:r>
              <w:rPr>
                <w:rFonts w:hint="eastAsia" w:ascii="Times New Roman" w:hAnsi="Times New Roman"/>
              </w:rPr>
              <w:t>+1080米至+620米</w:t>
            </w:r>
          </w:p>
        </w:tc>
        <w:tc>
          <w:tcPr>
            <w:tcW w:w="1486" w:type="dxa"/>
            <w:vAlign w:val="center"/>
          </w:tcPr>
          <w:p>
            <w:pPr>
              <w:jc w:val="center"/>
              <w:rPr>
                <w:rFonts w:ascii="Times New Roman" w:hAnsi="Times New Roman"/>
                <w:szCs w:val="21"/>
              </w:rPr>
            </w:pPr>
            <w:r>
              <w:rPr>
                <w:rFonts w:hint="eastAsia" w:ascii="Times New Roman" w:hAnsi="Times New Roman"/>
                <w:szCs w:val="21"/>
              </w:rPr>
              <w:t>5万吨/年</w:t>
            </w:r>
          </w:p>
        </w:tc>
        <w:tc>
          <w:tcPr>
            <w:tcW w:w="851" w:type="dxa"/>
            <w:vAlign w:val="center"/>
          </w:tcPr>
          <w:p>
            <w:pPr>
              <w:jc w:val="center"/>
              <w:rPr>
                <w:rFonts w:ascii="Times New Roman" w:hAnsi="Times New Roman"/>
                <w:szCs w:val="21"/>
              </w:rPr>
            </w:pPr>
            <w:r>
              <w:rPr>
                <w:rFonts w:hint="eastAsia" w:ascii="Times New Roman" w:hAnsi="Times New Roman"/>
                <w:szCs w:val="21"/>
              </w:rPr>
              <w:t>6.59</w:t>
            </w:r>
          </w:p>
        </w:tc>
        <w:tc>
          <w:tcPr>
            <w:tcW w:w="1134" w:type="dxa"/>
            <w:vAlign w:val="center"/>
          </w:tcPr>
          <w:p>
            <w:pPr>
              <w:jc w:val="center"/>
              <w:rPr>
                <w:rFonts w:ascii="Times New Roman" w:hAnsi="Times New Roman"/>
                <w:szCs w:val="21"/>
              </w:rPr>
            </w:pPr>
            <w:r>
              <w:rPr>
                <w:rFonts w:hint="eastAsia" w:ascii="Times New Roman" w:hAnsi="Times New Roman"/>
                <w:szCs w:val="21"/>
              </w:rPr>
              <w:t>283.25</w:t>
            </w:r>
          </w:p>
        </w:tc>
        <w:tc>
          <w:tcPr>
            <w:tcW w:w="916" w:type="dxa"/>
            <w:vAlign w:val="center"/>
          </w:tcPr>
          <w:p>
            <w:pPr>
              <w:jc w:val="center"/>
              <w:rPr>
                <w:rFonts w:ascii="Times New Roman" w:hAnsi="Times New Roman"/>
                <w:szCs w:val="21"/>
              </w:rPr>
            </w:pPr>
            <w:r>
              <w:rPr>
                <w:rFonts w:hint="eastAsia" w:ascii="Times New Roman" w:hAnsi="Times New Roman"/>
                <w:szCs w:val="21"/>
              </w:rPr>
              <w:t>100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一、序号CKGC202101 采矿权出让人：</w:t>
      </w:r>
      <w:r>
        <w:rPr>
          <w:rFonts w:hint="eastAsia" w:asciiTheme="minorEastAsia" w:hAnsiTheme="minorEastAsia"/>
          <w:sz w:val="24"/>
          <w:szCs w:val="24"/>
        </w:rPr>
        <w:t>城口县规划和自然资源局</w:t>
      </w:r>
      <w:r>
        <w:rPr>
          <w:rFonts w:asciiTheme="minorEastAsia" w:hAnsiTheme="minorEastAsia"/>
          <w:sz w:val="24"/>
          <w:szCs w:val="24"/>
        </w:rPr>
        <w:t>，地址：</w:t>
      </w:r>
      <w:r>
        <w:rPr>
          <w:rFonts w:hint="eastAsia" w:cs="宋体" w:asciiTheme="minorEastAsia" w:hAnsiTheme="minorEastAsia"/>
          <w:sz w:val="24"/>
          <w:szCs w:val="24"/>
        </w:rPr>
        <w:t>重庆市城口县葛城街道北大街行政机关综合办公楼</w:t>
      </w:r>
      <w:r>
        <w:rPr>
          <w:rFonts w:asciiTheme="minorEastAsia" w:hAnsiTheme="minorEastAsia"/>
          <w:sz w:val="24"/>
          <w:szCs w:val="24"/>
        </w:rPr>
        <w:t>，联系人：</w:t>
      </w:r>
      <w:r>
        <w:rPr>
          <w:rFonts w:hint="eastAsia" w:cs="宋体" w:asciiTheme="minorEastAsia" w:hAnsiTheme="minorEastAsia"/>
          <w:sz w:val="24"/>
          <w:szCs w:val="24"/>
        </w:rPr>
        <w:t>段老师</w:t>
      </w:r>
      <w:r>
        <w:rPr>
          <w:rFonts w:asciiTheme="minorEastAsia" w:hAnsiTheme="minorEastAsia"/>
          <w:sz w:val="24"/>
          <w:szCs w:val="24"/>
        </w:rPr>
        <w:t>，联系电话：</w:t>
      </w:r>
      <w:r>
        <w:rPr>
          <w:rFonts w:hint="eastAsia" w:asciiTheme="minorEastAsia" w:hAnsiTheme="minorEastAsia"/>
          <w:sz w:val="24"/>
          <w:szCs w:val="24"/>
        </w:rPr>
        <w:t>023-59225370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 xml:space="preserve">城口县公共资源交易中心        </w:t>
      </w:r>
      <w:r>
        <w:rPr>
          <w:rFonts w:asciiTheme="minorEastAsia" w:hAnsiTheme="minorEastAsia"/>
          <w:sz w:val="24"/>
          <w:szCs w:val="24"/>
        </w:rPr>
        <w:t xml:space="preserve">        开户行：</w:t>
      </w:r>
      <w:r>
        <w:rPr>
          <w:rFonts w:hint="eastAsia" w:asciiTheme="minorEastAsia" w:hAnsiTheme="minorEastAsia"/>
          <w:sz w:val="24"/>
          <w:szCs w:val="24"/>
        </w:rPr>
        <w:t xml:space="preserve">农行城口县支行南大街分理处 </w:t>
      </w:r>
      <w:r>
        <w:rPr>
          <w:rFonts w:asciiTheme="minorEastAsia" w:hAnsiTheme="minorEastAsia"/>
          <w:sz w:val="24"/>
          <w:szCs w:val="24"/>
        </w:rPr>
        <w:t xml:space="preserve"> 帐号：</w:t>
      </w:r>
      <w:r>
        <w:rPr>
          <w:rFonts w:hint="eastAsia" w:asciiTheme="minorEastAsia" w:hAnsiTheme="minorEastAsia"/>
          <w:sz w:val="24"/>
          <w:szCs w:val="24"/>
        </w:rPr>
        <w:t>31510201040001361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2021年04月29日12时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 xml:space="preserve">城口县公共资源交易中心        </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城口县规划和自然资源局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 xml:space="preserve">城口县公共资源交易中心        </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1、根据出让前期报告等资料，截止2020年10月31日，矿区范围内占用锰矿石资源量38.3万吨，其中控制资源量19.1万吨、推断资源量19.2万吨。</w:t>
      </w:r>
    </w:p>
    <w:p>
      <w:pPr>
        <w:spacing w:line="360" w:lineRule="exact"/>
        <w:ind w:firstLine="480" w:firstLineChars="200"/>
        <w:rPr>
          <w:rFonts w:hint="eastAsia" w:ascii="Times New Roman" w:hAnsi="Times New Roman"/>
          <w:sz w:val="24"/>
        </w:rPr>
      </w:pPr>
      <w:r>
        <w:rPr>
          <w:rFonts w:hint="eastAsia" w:ascii="Times New Roman" w:hAnsi="Times New Roman"/>
          <w:sz w:val="24"/>
        </w:rPr>
        <w:t>2、本宗采矿权为已建矿山，通过公开出让方式增划资源。根据《资产评估报告》（天恒信评报字〔2021〕第1037号）和出让前期报告等资料，原采矿权人的部分资产评估价值为18545.91万元，原矿区内剩余已出让资源评估价值为255.91万元，共计18801.82万元。由新竞得人在签订《采矿权出让合同》前一次性支付至出让方指定账户。原采矿权人在限期内移交有关资产并配合矿权的转移。竞得人若未按公告要求足额支付相关费用，即视为自愿放弃采矿权，出让方不退还竞买保证金。若原采矿权人为竞得人，可以不支付此费用。</w:t>
      </w:r>
    </w:p>
    <w:p>
      <w:pPr>
        <w:spacing w:line="360" w:lineRule="exact"/>
        <w:ind w:firstLine="480" w:firstLineChars="200"/>
        <w:rPr>
          <w:rFonts w:hint="eastAsia" w:ascii="Times New Roman" w:hAnsi="Times New Roman"/>
          <w:sz w:val="24"/>
        </w:rPr>
      </w:pPr>
      <w:r>
        <w:rPr>
          <w:rFonts w:hint="eastAsia" w:ascii="Times New Roman" w:hAnsi="Times New Roman"/>
          <w:sz w:val="24"/>
        </w:rPr>
        <w:t>3、竞得人须自行或委托编制矿山地质环境恢复治理和土地复垦方案并通过审查，同时按照《重庆市矿产资源管理条例》《矿山地质环境保护规定》等有关规定承担相应的矿山生态修复义务。</w:t>
      </w:r>
    </w:p>
    <w:p>
      <w:pPr>
        <w:spacing w:line="360" w:lineRule="exact"/>
        <w:ind w:firstLine="480" w:firstLineChars="200"/>
        <w:rPr>
          <w:rFonts w:hint="eastAsia" w:ascii="Times New Roman" w:hAnsi="Times New Roman"/>
          <w:sz w:val="24"/>
        </w:rPr>
      </w:pPr>
      <w:r>
        <w:rPr>
          <w:rFonts w:hint="eastAsia" w:ascii="Times New Roman" w:hAnsi="Times New Roman"/>
          <w:sz w:val="24"/>
        </w:rPr>
        <w:t>4、由于原有老矿井无序开采，矿区范围内上部多数区域剩余块段储量零星分布，建议竞得人在开采上部零星资源块段时，为确保安全，应单独做好上部各零星块段的开采设计。</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5、矿井内含有瓦斯，矿层顶底板岩性工程地质条件复杂，建议竞得人严格按开发利用方案、开采设计确定的防范措施做好相关工作。</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城口县修齐镇茅坡子二井锰矿采矿权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CKGC202101</w:t>
      </w:r>
    </w:p>
    <w:p>
      <w:pPr>
        <w:spacing w:line="360" w:lineRule="exact"/>
        <w:ind w:firstLine="420" w:firstLineChars="200"/>
        <w:rPr>
          <w:rFonts w:ascii="Times New Roman" w:hAnsi="Times New Roman"/>
          <w:szCs w:val="21"/>
        </w:rPr>
      </w:pPr>
      <w:r>
        <w:rPr>
          <w:rFonts w:hint="eastAsia" w:ascii="Times New Roman" w:hAnsi="Times New Roman"/>
          <w:szCs w:val="21"/>
        </w:rPr>
        <w:t>城口县修齐镇茅坡子二井锰矿</w:t>
      </w:r>
      <w:r>
        <w:rPr>
          <w:rFonts w:ascii="Times New Roman" w:hAnsi="Times New Roman"/>
          <w:szCs w:val="21"/>
        </w:rPr>
        <w:t>采矿权位于</w:t>
      </w:r>
      <w:r>
        <w:rPr>
          <w:rFonts w:hint="eastAsia" w:ascii="Times New Roman" w:hAnsi="Times New Roman"/>
          <w:szCs w:val="21"/>
        </w:rPr>
        <w:t>重庆市城口县修齐镇</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 xml:space="preserve">城口县公共资源交易中心        </w:t>
      </w:r>
      <w:r>
        <w:rPr>
          <w:rFonts w:asciiTheme="minorEastAsia" w:hAnsiTheme="minorEastAsia"/>
          <w:szCs w:val="21"/>
        </w:rPr>
        <w:t>（</w:t>
      </w:r>
      <w:r>
        <w:rPr>
          <w:rFonts w:hint="eastAsia" w:asciiTheme="minorEastAsia" w:hAnsiTheme="minorEastAsia"/>
          <w:szCs w:val="21"/>
        </w:rPr>
        <w:t>http://www.cqggzy.com/chengkouweb/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2021年04月01日09时</w:t>
      </w:r>
      <w:r>
        <w:rPr>
          <w:rFonts w:asciiTheme="minorEastAsia" w:hAnsiTheme="minorEastAsia"/>
          <w:szCs w:val="21"/>
        </w:rPr>
        <w:t>-</w:t>
      </w:r>
      <w:r>
        <w:rPr>
          <w:rFonts w:hint="eastAsia" w:asciiTheme="minorEastAsia" w:hAnsiTheme="minorEastAsia"/>
          <w:szCs w:val="21"/>
        </w:rPr>
        <w:t>2021年04月29日12时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城口县修齐镇茅坡子二井锰矿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重庆市城口县修齐镇</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283.25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0.3672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+1080米至+620米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锰矿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38.3万吨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6.59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3527413.41</w:t>
            </w:r>
          </w:p>
        </w:tc>
        <w:tc>
          <w:p>
            <w:pPr>
              <w:spacing w:line="360" w:lineRule="exact"/>
              <w:jc w:val="center"/>
              <w:rPr>
                <w:rFonts w:ascii="Times New Roman" w:hAnsi="Times New Roman"/>
                <w:szCs w:val="21"/>
              </w:rPr>
            </w:pPr>
            <w:r>
              <w:rPr>
                <w:rFonts w:hint="eastAsia" w:ascii="Times New Roman" w:hAnsi="Times New Roman"/>
                <w:szCs w:val="21"/>
              </w:rPr>
              <w:t>36578114.15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3527490.93</w:t>
            </w:r>
          </w:p>
        </w:tc>
        <w:tc>
          <w:p>
            <w:pPr>
              <w:spacing w:line="360" w:lineRule="exact"/>
              <w:jc w:val="center"/>
              <w:rPr>
                <w:rFonts w:ascii="Times New Roman" w:hAnsi="Times New Roman"/>
                <w:szCs w:val="21"/>
              </w:rPr>
            </w:pPr>
            <w:r>
              <w:rPr>
                <w:rFonts w:hint="eastAsia" w:ascii="Times New Roman" w:hAnsi="Times New Roman"/>
                <w:szCs w:val="21"/>
              </w:rPr>
              <w:t>36578160.72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3527371.08</w:t>
            </w:r>
          </w:p>
        </w:tc>
        <w:tc>
          <w:p>
            <w:pPr>
              <w:spacing w:line="360" w:lineRule="exact"/>
              <w:jc w:val="center"/>
              <w:rPr>
                <w:rFonts w:ascii="Times New Roman" w:hAnsi="Times New Roman"/>
                <w:szCs w:val="21"/>
              </w:rPr>
            </w:pPr>
            <w:r>
              <w:rPr>
                <w:rFonts w:hint="eastAsia" w:ascii="Times New Roman" w:hAnsi="Times New Roman"/>
                <w:szCs w:val="21"/>
              </w:rPr>
              <w:t>36578276.61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3527313.13</w:t>
            </w:r>
          </w:p>
        </w:tc>
        <w:tc>
          <w:p>
            <w:pPr>
              <w:spacing w:line="360" w:lineRule="exact"/>
              <w:jc w:val="center"/>
              <w:rPr>
                <w:rFonts w:ascii="Times New Roman" w:hAnsi="Times New Roman"/>
                <w:szCs w:val="21"/>
              </w:rPr>
            </w:pPr>
            <w:r>
              <w:rPr>
                <w:rFonts w:hint="eastAsia" w:ascii="Times New Roman" w:hAnsi="Times New Roman"/>
                <w:szCs w:val="21"/>
              </w:rPr>
              <w:t>36578382.18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3527254.40</w:t>
            </w:r>
          </w:p>
        </w:tc>
        <w:tc>
          <w:p>
            <w:pPr>
              <w:spacing w:line="360" w:lineRule="exact"/>
              <w:jc w:val="center"/>
              <w:rPr>
                <w:rFonts w:ascii="Times New Roman" w:hAnsi="Times New Roman"/>
                <w:szCs w:val="21"/>
              </w:rPr>
            </w:pPr>
            <w:r>
              <w:rPr>
                <w:rFonts w:hint="eastAsia" w:ascii="Times New Roman" w:hAnsi="Times New Roman"/>
                <w:szCs w:val="21"/>
              </w:rPr>
              <w:t>36578355.19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3527220.47</w:t>
            </w:r>
          </w:p>
        </w:tc>
        <w:tc>
          <w:p>
            <w:pPr>
              <w:spacing w:line="360" w:lineRule="exact"/>
              <w:jc w:val="center"/>
              <w:rPr>
                <w:rFonts w:ascii="Times New Roman" w:hAnsi="Times New Roman"/>
                <w:szCs w:val="21"/>
              </w:rPr>
            </w:pPr>
            <w:r>
              <w:rPr>
                <w:rFonts w:hint="eastAsia" w:ascii="Times New Roman" w:hAnsi="Times New Roman"/>
                <w:szCs w:val="21"/>
              </w:rPr>
              <w:t>36578405.38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3527626.09</w:t>
            </w:r>
          </w:p>
        </w:tc>
        <w:tc>
          <w:p>
            <w:pPr>
              <w:spacing w:line="360" w:lineRule="exact"/>
              <w:jc w:val="center"/>
              <w:rPr>
                <w:rFonts w:ascii="Times New Roman" w:hAnsi="Times New Roman"/>
                <w:szCs w:val="21"/>
              </w:rPr>
            </w:pPr>
            <w:r>
              <w:rPr>
                <w:rFonts w:hint="eastAsia" w:ascii="Times New Roman" w:hAnsi="Times New Roman"/>
                <w:szCs w:val="21"/>
              </w:rPr>
              <w:t>36578572.13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3527849.24</w:t>
            </w:r>
          </w:p>
        </w:tc>
        <w:tc>
          <w:p>
            <w:pPr>
              <w:spacing w:line="360" w:lineRule="exact"/>
              <w:jc w:val="center"/>
              <w:rPr>
                <w:rFonts w:ascii="Times New Roman" w:hAnsi="Times New Roman"/>
                <w:szCs w:val="21"/>
              </w:rPr>
            </w:pPr>
            <w:r>
              <w:rPr>
                <w:rFonts w:hint="eastAsia" w:ascii="Times New Roman" w:hAnsi="Times New Roman"/>
                <w:szCs w:val="21"/>
              </w:rPr>
              <w:t>36578080.99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3527989.74</w:t>
            </w:r>
          </w:p>
        </w:tc>
        <w:tc>
          <w:p>
            <w:pPr>
              <w:spacing w:line="360" w:lineRule="exact"/>
              <w:jc w:val="center"/>
              <w:rPr>
                <w:rFonts w:ascii="Times New Roman" w:hAnsi="Times New Roman"/>
                <w:szCs w:val="21"/>
              </w:rPr>
            </w:pPr>
            <w:r>
              <w:rPr>
                <w:rFonts w:hint="eastAsia" w:ascii="Times New Roman" w:hAnsi="Times New Roman"/>
                <w:szCs w:val="21"/>
              </w:rPr>
              <w:t>36577538.25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3527640.47</w:t>
            </w:r>
          </w:p>
        </w:tc>
        <w:tc>
          <w:p>
            <w:pPr>
              <w:spacing w:line="360" w:lineRule="exact"/>
              <w:jc w:val="center"/>
              <w:rPr>
                <w:rFonts w:ascii="Times New Roman" w:hAnsi="Times New Roman"/>
                <w:szCs w:val="21"/>
              </w:rPr>
            </w:pPr>
            <w:r>
              <w:rPr>
                <w:rFonts w:hint="eastAsia" w:ascii="Times New Roman" w:hAnsi="Times New Roman"/>
                <w:szCs w:val="21"/>
              </w:rPr>
              <w:t>36577540.36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3527558.48</w:t>
            </w:r>
          </w:p>
        </w:tc>
        <w:tc>
          <w:p>
            <w:pPr>
              <w:spacing w:line="360" w:lineRule="exact"/>
              <w:jc w:val="center"/>
              <w:rPr>
                <w:rFonts w:ascii="Times New Roman" w:hAnsi="Times New Roman"/>
                <w:szCs w:val="21"/>
              </w:rPr>
            </w:pPr>
            <w:r>
              <w:rPr>
                <w:rFonts w:hint="eastAsia" w:ascii="Times New Roman" w:hAnsi="Times New Roman"/>
                <w:szCs w:val="21"/>
              </w:rPr>
              <w:t>36577804.55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3527484.61</w:t>
            </w:r>
          </w:p>
        </w:tc>
        <w:tc>
          <w:p>
            <w:pPr>
              <w:spacing w:line="360" w:lineRule="exact"/>
              <w:jc w:val="center"/>
              <w:rPr>
                <w:rFonts w:ascii="Times New Roman" w:hAnsi="Times New Roman"/>
                <w:szCs w:val="21"/>
              </w:rPr>
            </w:pPr>
            <w:r>
              <w:rPr>
                <w:rFonts w:hint="eastAsia" w:ascii="Times New Roman" w:hAnsi="Times New Roman"/>
                <w:szCs w:val="21"/>
              </w:rPr>
              <w:t>36577783.00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3527490.52</w:t>
            </w:r>
          </w:p>
        </w:tc>
        <w:tc>
          <w:p>
            <w:pPr>
              <w:spacing w:line="360" w:lineRule="exact"/>
              <w:jc w:val="center"/>
              <w:rPr>
                <w:rFonts w:ascii="Times New Roman" w:hAnsi="Times New Roman"/>
                <w:szCs w:val="21"/>
              </w:rPr>
            </w:pPr>
            <w:r>
              <w:rPr>
                <w:rFonts w:hint="eastAsia" w:ascii="Times New Roman" w:hAnsi="Times New Roman"/>
                <w:szCs w:val="21"/>
              </w:rPr>
              <w:t>36577797.93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14</w:t>
            </w:r>
          </w:p>
        </w:tc>
        <w:tc>
          <w:tcPr>
            <w:gridSpan w:val="2"/>
          </w:tcPr>
          <w:p>
            <w:pPr>
              <w:spacing w:line="360" w:lineRule="exact"/>
              <w:jc w:val="center"/>
              <w:rPr>
                <w:rFonts w:ascii="Times New Roman" w:hAnsi="Times New Roman"/>
                <w:szCs w:val="21"/>
              </w:rPr>
            </w:pPr>
            <w:r>
              <w:rPr>
                <w:rFonts w:hint="eastAsia" w:ascii="Times New Roman" w:hAnsi="Times New Roman"/>
                <w:szCs w:val="21"/>
              </w:rPr>
              <w:t>3527525.81</w:t>
            </w:r>
          </w:p>
        </w:tc>
        <w:tc>
          <w:p>
            <w:pPr>
              <w:spacing w:line="360" w:lineRule="exact"/>
              <w:jc w:val="center"/>
              <w:rPr>
                <w:rFonts w:ascii="Times New Roman" w:hAnsi="Times New Roman"/>
                <w:szCs w:val="21"/>
              </w:rPr>
            </w:pPr>
            <w:r>
              <w:rPr>
                <w:rFonts w:hint="eastAsia" w:ascii="Times New Roman" w:hAnsi="Times New Roman"/>
                <w:szCs w:val="21"/>
              </w:rPr>
              <w:t>36577814.10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15</w:t>
            </w:r>
          </w:p>
        </w:tc>
        <w:tc>
          <w:tcPr>
            <w:gridSpan w:val="2"/>
          </w:tcPr>
          <w:p>
            <w:pPr>
              <w:spacing w:line="360" w:lineRule="exact"/>
              <w:jc w:val="center"/>
              <w:rPr>
                <w:rFonts w:ascii="Times New Roman" w:hAnsi="Times New Roman"/>
                <w:szCs w:val="21"/>
              </w:rPr>
            </w:pPr>
            <w:r>
              <w:rPr>
                <w:rFonts w:hint="eastAsia" w:ascii="Times New Roman" w:hAnsi="Times New Roman"/>
                <w:szCs w:val="21"/>
              </w:rPr>
              <w:t>3527515.05</w:t>
            </w:r>
          </w:p>
        </w:tc>
        <w:tc>
          <w:p>
            <w:pPr>
              <w:spacing w:line="360" w:lineRule="exact"/>
              <w:jc w:val="center"/>
              <w:rPr>
                <w:rFonts w:ascii="Times New Roman" w:hAnsi="Times New Roman"/>
                <w:szCs w:val="21"/>
              </w:rPr>
            </w:pPr>
            <w:r>
              <w:rPr>
                <w:rFonts w:hint="eastAsia" w:ascii="Times New Roman" w:hAnsi="Times New Roman"/>
                <w:szCs w:val="21"/>
              </w:rPr>
              <w:t>36577854.25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16</w:t>
            </w:r>
          </w:p>
        </w:tc>
        <w:tc>
          <w:tcPr>
            <w:gridSpan w:val="2"/>
          </w:tcPr>
          <w:p>
            <w:pPr>
              <w:spacing w:line="360" w:lineRule="exact"/>
              <w:jc w:val="center"/>
              <w:rPr>
                <w:rFonts w:ascii="Times New Roman" w:hAnsi="Times New Roman"/>
                <w:szCs w:val="21"/>
              </w:rPr>
            </w:pPr>
            <w:r>
              <w:rPr>
                <w:rFonts w:hint="eastAsia" w:ascii="Times New Roman" w:hAnsi="Times New Roman"/>
                <w:szCs w:val="21"/>
              </w:rPr>
              <w:t>3527541.10</w:t>
            </w:r>
          </w:p>
        </w:tc>
        <w:tc>
          <w:p>
            <w:pPr>
              <w:spacing w:line="360" w:lineRule="exact"/>
              <w:jc w:val="center"/>
              <w:rPr>
                <w:rFonts w:ascii="Times New Roman" w:hAnsi="Times New Roman"/>
                <w:szCs w:val="21"/>
              </w:rPr>
            </w:pPr>
            <w:r>
              <w:rPr>
                <w:rFonts w:hint="eastAsia" w:ascii="Times New Roman" w:hAnsi="Times New Roman"/>
                <w:szCs w:val="21"/>
              </w:rPr>
              <w:t>36577860.56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17</w:t>
            </w:r>
          </w:p>
        </w:tc>
        <w:tc>
          <w:tcPr>
            <w:gridSpan w:val="2"/>
          </w:tcPr>
          <w:p>
            <w:pPr>
              <w:spacing w:line="360" w:lineRule="exact"/>
              <w:jc w:val="center"/>
              <w:rPr>
                <w:rFonts w:ascii="Times New Roman" w:hAnsi="Times New Roman"/>
                <w:szCs w:val="21"/>
              </w:rPr>
            </w:pPr>
            <w:r>
              <w:rPr>
                <w:rFonts w:hint="eastAsia" w:ascii="Times New Roman" w:hAnsi="Times New Roman"/>
                <w:szCs w:val="21"/>
              </w:rPr>
              <w:t>3527505.47</w:t>
            </w:r>
          </w:p>
        </w:tc>
        <w:tc>
          <w:p>
            <w:pPr>
              <w:spacing w:line="360" w:lineRule="exact"/>
              <w:jc w:val="center"/>
              <w:rPr>
                <w:rFonts w:ascii="Times New Roman" w:hAnsi="Times New Roman"/>
                <w:szCs w:val="21"/>
              </w:rPr>
            </w:pPr>
            <w:r>
              <w:rPr>
                <w:rFonts w:hint="eastAsia" w:ascii="Times New Roman" w:hAnsi="Times New Roman"/>
                <w:szCs w:val="21"/>
              </w:rPr>
              <w:t>36577975.38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18</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3527480.92</w:t>
            </w:r>
          </w:p>
        </w:tc>
        <w:tc>
          <w:p>
            <w:pPr>
              <w:spacing w:line="360" w:lineRule="exact"/>
              <w:jc w:val="center"/>
              <w:rPr>
                <w:rFonts w:ascii="Times New Roman" w:hAnsi="Times New Roman"/>
                <w:szCs w:val="21"/>
              </w:rPr>
            </w:pPr>
            <w:r>
              <w:rPr>
                <w:rFonts w:hint="eastAsia" w:ascii="Times New Roman" w:hAnsi="Times New Roman"/>
                <w:szCs w:val="21"/>
              </w:rPr>
              <w:t>36578012.42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19</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3527470.60</w:t>
            </w:r>
          </w:p>
        </w:tc>
        <w:tc>
          <w:p>
            <w:pPr>
              <w:spacing w:line="360" w:lineRule="exact"/>
              <w:jc w:val="center"/>
              <w:rPr>
                <w:rFonts w:ascii="Times New Roman" w:hAnsi="Times New Roman"/>
                <w:szCs w:val="21"/>
              </w:rPr>
            </w:pPr>
            <w:r>
              <w:rPr>
                <w:rFonts w:hint="eastAsia" w:ascii="Times New Roman" w:hAnsi="Times New Roman"/>
                <w:szCs w:val="21"/>
              </w:rPr>
              <w:t>36578006.46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20</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3527462.05</w:t>
            </w:r>
          </w:p>
        </w:tc>
        <w:tc>
          <w:p>
            <w:pPr>
              <w:spacing w:line="360" w:lineRule="exact"/>
              <w:jc w:val="center"/>
              <w:rPr>
                <w:rFonts w:ascii="Times New Roman" w:hAnsi="Times New Roman"/>
                <w:szCs w:val="21"/>
              </w:rPr>
            </w:pPr>
            <w:r>
              <w:rPr>
                <w:rFonts w:hint="eastAsia" w:ascii="Times New Roman" w:hAnsi="Times New Roman"/>
                <w:szCs w:val="21"/>
              </w:rPr>
              <w:t>36578021.16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21</w:t>
            </w:r>
          </w:p>
        </w:tc>
        <w:tc>
          <w:tcPr>
            <w:gridSpan w:val="2"/>
          </w:tcPr>
          <w:p>
            <w:pPr>
              <w:spacing w:line="360" w:lineRule="exact"/>
              <w:jc w:val="center"/>
              <w:rPr>
                <w:rFonts w:ascii="Times New Roman" w:hAnsi="Times New Roman"/>
                <w:szCs w:val="21"/>
              </w:rPr>
            </w:pPr>
            <w:r>
              <w:rPr>
                <w:rFonts w:hint="eastAsia" w:ascii="Times New Roman" w:hAnsi="Times New Roman"/>
                <w:szCs w:val="21"/>
              </w:rPr>
              <w:t>3527471.27</w:t>
            </w:r>
          </w:p>
        </w:tc>
        <w:tc>
          <w:p>
            <w:pPr>
              <w:spacing w:line="360" w:lineRule="exact"/>
              <w:jc w:val="center"/>
              <w:rPr>
                <w:rFonts w:ascii="Times New Roman" w:hAnsi="Times New Roman"/>
                <w:szCs w:val="21"/>
              </w:rPr>
            </w:pPr>
            <w:r>
              <w:rPr>
                <w:rFonts w:hint="eastAsia" w:ascii="Times New Roman" w:hAnsi="Times New Roman"/>
                <w:szCs w:val="21"/>
              </w:rPr>
              <w:t>36578026.98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城口县规划和自然资源局</w:t>
      </w:r>
      <w:r>
        <w:rPr>
          <w:rFonts w:asciiTheme="minorEastAsia" w:hAnsiTheme="minorEastAsia"/>
          <w:szCs w:val="21"/>
        </w:rPr>
        <w:t>，采矿权出让承办机构为</w:t>
      </w:r>
      <w:r>
        <w:rPr>
          <w:rFonts w:hint="eastAsia" w:asciiTheme="minorEastAsia" w:hAnsiTheme="minorEastAsia"/>
          <w:szCs w:val="21"/>
        </w:rPr>
        <w:t xml:space="preserve">城口县公共资源交易中心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城口县规划和自然资源局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重庆市城口县葛城街道北大街行政机关综合办公楼</w:t>
      </w:r>
      <w:r>
        <w:rPr>
          <w:rFonts w:asciiTheme="minorEastAsia" w:hAnsiTheme="minorEastAsia"/>
          <w:szCs w:val="21"/>
        </w:rPr>
        <w:t>，联系人：</w:t>
      </w:r>
      <w:r>
        <w:rPr>
          <w:rFonts w:hint="eastAsia" w:cs="宋体" w:asciiTheme="minorEastAsia" w:hAnsiTheme="minorEastAsia"/>
          <w:szCs w:val="21"/>
        </w:rPr>
        <w:t>段老师</w:t>
      </w:r>
      <w:r>
        <w:rPr>
          <w:rFonts w:asciiTheme="minorEastAsia" w:hAnsiTheme="minorEastAsia"/>
          <w:szCs w:val="21"/>
        </w:rPr>
        <w:t>，联系电话：</w:t>
      </w:r>
      <w:r>
        <w:rPr>
          <w:rFonts w:hint="eastAsia" w:asciiTheme="minorEastAsia" w:hAnsiTheme="minorEastAsia"/>
          <w:szCs w:val="21"/>
        </w:rPr>
        <w:t>023-59225370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 xml:space="preserve">城口县公共资源交易中心        </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城口县葛城街道办禹田花园二楼</w:t>
      </w:r>
      <w:r>
        <w:rPr>
          <w:rFonts w:asciiTheme="minorEastAsia" w:hAnsiTheme="minorEastAsia"/>
          <w:szCs w:val="21"/>
        </w:rPr>
        <w:t>，联系人：</w:t>
      </w:r>
      <w:r>
        <w:rPr>
          <w:rFonts w:hint="eastAsia" w:asciiTheme="minorEastAsia" w:hAnsiTheme="minorEastAsia"/>
          <w:szCs w:val="21"/>
        </w:rPr>
        <w:t>庞老师</w:t>
      </w:r>
      <w:r>
        <w:rPr>
          <w:rFonts w:asciiTheme="minorEastAsia" w:hAnsiTheme="minorEastAsia"/>
          <w:szCs w:val="21"/>
        </w:rPr>
        <w:t>，联系电话：</w:t>
      </w:r>
      <w:r>
        <w:rPr>
          <w:rFonts w:hint="eastAsia" w:asciiTheme="minorEastAsia" w:hAnsiTheme="minorEastAsia"/>
          <w:szCs w:val="21"/>
        </w:rPr>
        <w:t>023-59211211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2021年04月01日09时</w:t>
      </w:r>
      <w:r>
        <w:rPr>
          <w:rFonts w:ascii="Times New Roman" w:hAnsi="Times New Roman" w:cs="Times New Roman"/>
          <w:szCs w:val="21"/>
        </w:rPr>
        <w:t>-</w:t>
      </w:r>
      <w:r>
        <w:rPr>
          <w:rFonts w:hint="eastAsia" w:ascii="Times New Roman" w:hAnsi="Times New Roman" w:cs="Times New Roman"/>
          <w:szCs w:val="21"/>
        </w:rPr>
        <w:t>2021年04月29日12时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城口县葛城街道办禹田花园二楼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庞老师</w:t>
      </w:r>
      <w:r>
        <w:rPr>
          <w:rFonts w:ascii="Times New Roman" w:hAnsi="Times New Roman" w:cs="Times New Roman"/>
          <w:szCs w:val="21"/>
        </w:rPr>
        <w:t>，联系电话：</w:t>
      </w:r>
      <w:r>
        <w:rPr>
          <w:rFonts w:hint="eastAsia" w:ascii="Times New Roman" w:hAnsi="Times New Roman" w:cs="Times New Roman"/>
          <w:szCs w:val="21"/>
        </w:rPr>
        <w:t>023-59211211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 xml:space="preserve">城口县公共资源交易中心        </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100</w:t>
      </w:r>
      <w:r>
        <w:rPr>
          <w:rFonts w:ascii="Times New Roman" w:hAnsi="Times New Roman" w:cs="Times New Roman"/>
          <w:szCs w:val="21"/>
        </w:rPr>
        <w:t>万元（大写：</w:t>
      </w:r>
      <w:r>
        <w:rPr>
          <w:rFonts w:hint="eastAsia" w:ascii="宋体" w:hAnsi="宋体" w:eastAsia="宋体" w:cs="宋体"/>
          <w:szCs w:val="21"/>
        </w:rPr>
        <w:t>壹佰万元整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 xml:space="preserve">城口县公共资源交易中心        </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2021年04月29日12时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保证金户名：城口县公共资源交易中心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开户行：农行城口县支行南大街分理处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帐号：31510201040001361。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 xml:space="preserve">城口县公共资源交易中心        </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1-2万</w:t>
      </w:r>
      <w:r>
        <w:rPr>
          <w:rFonts w:ascii="Times New Roman" w:hAnsi="Times New Roman" w:cs="Times New Roman"/>
          <w:szCs w:val="21"/>
        </w:rPr>
        <w:t>元。拍卖时间为</w:t>
      </w:r>
      <w:r>
        <w:rPr>
          <w:rFonts w:hint="eastAsia" w:ascii="Times New Roman" w:hAnsi="Times New Roman" w:cs="Times New Roman"/>
          <w:szCs w:val="21"/>
        </w:rPr>
        <w:t>2021年04月29日15时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 xml:space="preserve">城口县公共资源交易中心        </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 xml:space="preserve">根据《财政部国土资源部关于印发&lt;矿业权出让收益征收管理暂行办法&gt;的通知》（财综﹝2017﹞35号）有关要求，采矿权出让收益可一次性缴纳也可分期缴纳。本采矿权出让收益最多分两期缴纳，首期缴纳比例不低于总额的 20%（在采矿权出让合同签订之 日起 7 个工作日内缴纳），且不低于 200 万元；第二期缴纳总出让收益的剩余部分（在采矿权出让合同签订之日起 1 个顺延年内缴纳）。 </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1、根据出让前期报告等资料，截止2020年10月31日，矿区范围内占用锰矿石资源量38.3万吨，其中控制资源量19.1万吨、推断资源量19.2万吨。</w:t>
      </w:r>
      <w:r>
        <w:rPr>
          <w:rFonts w:hint="eastAsia" w:ascii="Times New Roman" w:hAnsi="Times New Roman" w:cs="Times New Roman"/>
          <w:szCs w:val="21"/>
        </w:rPr>
        <w:cr/>
      </w:r>
      <w:r>
        <w:rPr>
          <w:rFonts w:hint="eastAsia" w:ascii="Times New Roman" w:hAnsi="Times New Roman" w:cs="Times New Roman"/>
          <w:szCs w:val="21"/>
        </w:rPr>
        <w:t>
2、本宗采矿权为已建矿山，通过公开出让方式增划资源。根据《资产评估报告》（天恒信评报字〔2021〕第1037号）和出让前期报告等资料，原采矿权人的部分资产评估价值为18545.91万元，原矿区内剩余已出让资源评估价值为255.91万元，共计18801.82万元。由新竞得人在签订《采矿权出让合同》前一次性支付至出让方指定账户。原采矿权人在限期内移交有关资产并配合矿权的转移。竞得人若未按公告要求足额支付相关费用，即视为自愿放弃采矿权，出让方不退还竞买保证金。若原采矿权人为竞得人，可以不支付此费用。</w:t>
      </w:r>
      <w:r>
        <w:rPr>
          <w:rFonts w:hint="eastAsia" w:ascii="Times New Roman" w:hAnsi="Times New Roman" w:cs="Times New Roman"/>
          <w:szCs w:val="21"/>
        </w:rPr>
        <w:cr/>
      </w:r>
      <w:r>
        <w:rPr>
          <w:rFonts w:hint="eastAsia" w:ascii="Times New Roman" w:hAnsi="Times New Roman" w:cs="Times New Roman"/>
          <w:szCs w:val="21"/>
        </w:rPr>
        <w:t>
3、竞得人须自行或委托编制矿山地质环境恢复治理和土地复垦方案并通过审查，同时按照《重庆市矿产资源管理条例》《矿山地质环境保护规定》等有关规定承担相应的矿山生态修复义务。</w:t>
      </w:r>
      <w:r>
        <w:rPr>
          <w:rFonts w:hint="eastAsia" w:ascii="Times New Roman" w:hAnsi="Times New Roman" w:cs="Times New Roman"/>
          <w:szCs w:val="21"/>
        </w:rPr>
        <w:cr/>
      </w:r>
      <w:r>
        <w:rPr>
          <w:rFonts w:hint="eastAsia" w:ascii="Times New Roman" w:hAnsi="Times New Roman" w:cs="Times New Roman"/>
          <w:szCs w:val="21"/>
        </w:rPr>
        <w:t>
4、由于原有老矿井无序开采，矿区范围内上部多数区域剩余块段储量零星分布，建议竞得人在开采上部零星资源块段时，为确保安全，应单独做好上部各零星块段的开采设计。</w:t>
      </w:r>
      <w:r>
        <w:rPr>
          <w:rFonts w:hint="eastAsia" w:ascii="Times New Roman" w:hAnsi="Times New Roman" w:cs="Times New Roman"/>
          <w:szCs w:val="21"/>
        </w:rPr>
        <w:cr/>
      </w:r>
      <w:r>
        <w:rPr>
          <w:rFonts w:hint="eastAsia" w:ascii="Times New Roman" w:hAnsi="Times New Roman" w:cs="Times New Roman"/>
          <w:szCs w:val="21"/>
        </w:rPr>
        <w:t>
5、矿井内含有瓦斯，矿层顶底板岩性工程地质条件复杂，建议竞得人严格按开发利用方案、开采设计确定的防范措施做好相关工作。</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城口县规划和自然资源局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 xml:space="preserve">城口县公共资源交易中心        </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城口县修齐镇茅坡子二井锰矿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87217FA"/>
    <w:rsid w:val="451B6779"/>
    <w:rsid w:val="64FD5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2021-04-01T02:15:10Z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