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default" w:ascii="Times New Roman" w:hAnsi="Times New Roman" w:cs="Times New Roman"/>
          <w:color w:val="auto"/>
        </w:rPr>
      </w:pPr>
      <w:r>
        <w:rPr>
          <w:rFonts w:hint="default" w:ascii="Times New Roman" w:hAnsi="Times New Roman" w:eastAsia="宋体" w:cs="Times New Roman"/>
          <w:color w:val="auto"/>
          <w:sz w:val="36"/>
        </w:rPr>
        <w:t>重庆市采矿权公开出让公告</w:t>
      </w:r>
    </w:p>
    <w:p>
      <w:pPr>
        <w:spacing w:line="440" w:lineRule="exact"/>
        <w:jc w:val="center"/>
        <w:rPr>
          <w:rFonts w:hint="default" w:ascii="Times New Roman" w:hAnsi="Times New Roman" w:cs="Times New Roman"/>
          <w:color w:val="auto"/>
        </w:rPr>
      </w:pPr>
      <w:r>
        <w:rPr>
          <w:rFonts w:hint="default" w:ascii="Times New Roman" w:hAnsi="Times New Roman" w:eastAsia="宋体" w:cs="Times New Roman"/>
          <w:color w:val="auto"/>
          <w:sz w:val="32"/>
        </w:rPr>
        <w:t>渝矿采出字</w:t>
      </w:r>
      <w:r>
        <w:rPr>
          <w:rFonts w:hint="default" w:ascii="Times New Roman" w:hAnsi="Times New Roman" w:eastAsia="方正仿宋_GBK" w:cs="Times New Roman"/>
          <w:snapToGrid w:val="0"/>
          <w:color w:val="auto"/>
          <w:kern w:val="0"/>
          <w:sz w:val="32"/>
          <w:szCs w:val="32"/>
          <w:lang w:val="zh-CN"/>
        </w:rPr>
        <w:t>〔</w:t>
      </w:r>
      <w:r>
        <w:rPr>
          <w:rFonts w:hint="default" w:ascii="Times New Roman" w:hAnsi="Times New Roman" w:eastAsia="方正仿宋_GBK" w:cs="Times New Roman"/>
          <w:snapToGrid w:val="0"/>
          <w:color w:val="auto"/>
          <w:kern w:val="0"/>
          <w:sz w:val="32"/>
          <w:szCs w:val="32"/>
        </w:rPr>
        <w:t>2023</w:t>
      </w:r>
      <w:r>
        <w:rPr>
          <w:rFonts w:hint="default" w:ascii="Times New Roman" w:hAnsi="Times New Roman" w:eastAsia="方正仿宋_GBK" w:cs="Times New Roman"/>
          <w:snapToGrid w:val="0"/>
          <w:color w:val="auto"/>
          <w:kern w:val="0"/>
          <w:sz w:val="32"/>
          <w:szCs w:val="32"/>
          <w:lang w:val="zh-CN"/>
        </w:rPr>
        <w:t>〕</w:t>
      </w:r>
      <w:r>
        <w:rPr>
          <w:rFonts w:hint="default" w:ascii="Times New Roman" w:hAnsi="Times New Roman" w:eastAsia="宋体" w:cs="Times New Roman"/>
          <w:color w:val="auto"/>
          <w:sz w:val="32"/>
        </w:rPr>
        <w:t>（合川）</w:t>
      </w:r>
      <w:r>
        <w:rPr>
          <w:rFonts w:hint="default" w:ascii="Times New Roman" w:hAnsi="Times New Roman" w:eastAsia="宋体" w:cs="Times New Roman"/>
          <w:color w:val="auto"/>
          <w:sz w:val="32"/>
          <w:lang w:val="en-US" w:eastAsia="zh-CN"/>
        </w:rPr>
        <w:t>03</w:t>
      </w:r>
      <w:r>
        <w:rPr>
          <w:rFonts w:hint="default" w:ascii="Times New Roman" w:hAnsi="Times New Roman" w:eastAsia="宋体" w:cs="Times New Roman"/>
          <w:color w:val="auto"/>
          <w:sz w:val="32"/>
        </w:rPr>
        <w:t>号</w:t>
      </w:r>
    </w:p>
    <w:p>
      <w:pPr>
        <w:spacing w:line="340" w:lineRule="exact"/>
        <w:ind w:left="520"/>
        <w:rPr>
          <w:rFonts w:hint="default" w:ascii="Times New Roman" w:hAnsi="Times New Roman" w:eastAsia="宋体" w:cs="Times New Roman"/>
          <w:color w:val="auto"/>
          <w:sz w:val="24"/>
        </w:rPr>
      </w:pP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根据自然资源部发布的《矿业权出让交易规则》和重庆市的相关规定，经重庆市合川区政府</w:t>
      </w:r>
      <w:r>
        <w:rPr>
          <w:rFonts w:hint="default" w:ascii="Times New Roman" w:hAnsi="Times New Roman" w:eastAsia="宋体" w:cs="Times New Roman"/>
          <w:color w:val="auto"/>
          <w:sz w:val="24"/>
          <w:szCs w:val="24"/>
          <w:lang w:val="en-US" w:eastAsia="zh-CN"/>
        </w:rPr>
        <w:t>同意</w:t>
      </w:r>
      <w:r>
        <w:rPr>
          <w:rFonts w:hint="default" w:ascii="Times New Roman" w:hAnsi="Times New Roman" w:eastAsia="宋体" w:cs="Times New Roman"/>
          <w:color w:val="auto"/>
          <w:sz w:val="24"/>
          <w:szCs w:val="24"/>
        </w:rPr>
        <w:t>，公开挂牌出让合川区三汇镇老龙村九社水泥用灰岩矿段采矿权，现将有关事项公告如下：</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一、出让人及交易平台名称及住所</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出让人：重庆市合川区规划和自然资源局，出让人地址：重庆市合川区南津街街道希尔安大道490号，联系人：李老师、刘老师 联系电话：023-42751866、023-42751029。交易平台：重庆市合川区公共资源交易中心，交易平台地址：重庆市合川区南津街街道希尔安大道225号5楼，联系人：熊老师 联系电话：023-42757282。</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二、拟出让采矿权简要情况</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该宗采矿权基本情况见下表：</w:t>
      </w:r>
    </w:p>
    <w:tbl>
      <w:tblPr>
        <w:tblStyle w:val="4"/>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67"/>
        <w:gridCol w:w="1458"/>
        <w:gridCol w:w="1079"/>
        <w:gridCol w:w="1079"/>
        <w:gridCol w:w="1425"/>
        <w:gridCol w:w="1296"/>
        <w:gridCol w:w="1089"/>
        <w:gridCol w:w="1083"/>
        <w:gridCol w:w="793"/>
        <w:gridCol w:w="1423"/>
        <w:gridCol w:w="1093"/>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00" w:hRule="atLeast"/>
          <w:jc w:val="center"/>
        </w:trPr>
        <w:tc>
          <w:tcPr>
            <w:tcW w:w="1117" w:type="dxa"/>
            <w:vAlign w:val="center"/>
          </w:tcPr>
          <w:p>
            <w:pPr>
              <w:spacing w:line="272" w:lineRule="exact"/>
              <w:jc w:val="center"/>
              <w:rPr>
                <w:rFonts w:hint="default" w:ascii="Times New Roman" w:hAnsi="Times New Roman" w:cs="Times New Roman"/>
                <w:color w:val="auto"/>
              </w:rPr>
            </w:pPr>
            <w:r>
              <w:rPr>
                <w:rFonts w:hint="default" w:ascii="Times New Roman" w:hAnsi="Times New Roman" w:eastAsia="宋体" w:cs="Times New Roman"/>
                <w:color w:val="auto"/>
                <w:sz w:val="20"/>
              </w:rPr>
              <w:t>序号</w:t>
            </w:r>
          </w:p>
        </w:tc>
        <w:tc>
          <w:tcPr>
            <w:tcW w:w="1513" w:type="dxa"/>
          </w:tcPr>
          <w:p>
            <w:pPr>
              <w:spacing w:before="187" w:line="285" w:lineRule="exact"/>
              <w:ind w:left="180"/>
              <w:jc w:val="left"/>
              <w:rPr>
                <w:rFonts w:hint="default" w:ascii="Times New Roman" w:hAnsi="Times New Roman" w:cs="Times New Roman"/>
                <w:color w:val="auto"/>
              </w:rPr>
            </w:pPr>
            <w:r>
              <w:rPr>
                <w:rFonts w:hint="default" w:ascii="Times New Roman" w:hAnsi="Times New Roman" w:eastAsia="宋体" w:cs="Times New Roman"/>
                <w:color w:val="auto"/>
                <w:sz w:val="20"/>
              </w:rPr>
              <w:t>项目名称</w:t>
            </w:r>
          </w:p>
          <w:p>
            <w:pPr>
              <w:spacing w:line="288" w:lineRule="exact"/>
              <w:ind w:left="280"/>
              <w:rPr>
                <w:rFonts w:hint="default" w:ascii="Times New Roman" w:hAnsi="Times New Roman" w:cs="Times New Roman"/>
                <w:color w:val="auto"/>
              </w:rPr>
            </w:pPr>
          </w:p>
        </w:tc>
        <w:tc>
          <w:tcPr>
            <w:tcW w:w="1114" w:type="dxa"/>
            <w:vAlign w:val="center"/>
          </w:tcPr>
          <w:p>
            <w:pPr>
              <w:spacing w:line="254" w:lineRule="exact"/>
              <w:ind w:left="60"/>
              <w:jc w:val="left"/>
              <w:rPr>
                <w:rFonts w:hint="default" w:ascii="Times New Roman" w:hAnsi="Times New Roman" w:cs="Times New Roman"/>
                <w:color w:val="auto"/>
              </w:rPr>
            </w:pPr>
            <w:r>
              <w:rPr>
                <w:rFonts w:hint="default" w:ascii="Times New Roman" w:hAnsi="Times New Roman" w:eastAsia="宋体" w:cs="Times New Roman"/>
                <w:color w:val="auto"/>
                <w:sz w:val="20"/>
              </w:rPr>
              <w:t>矿种</w:t>
            </w:r>
          </w:p>
        </w:tc>
        <w:tc>
          <w:tcPr>
            <w:tcW w:w="1114" w:type="dxa"/>
            <w:vAlign w:val="center"/>
          </w:tcPr>
          <w:p>
            <w:pPr>
              <w:spacing w:line="272" w:lineRule="exact"/>
              <w:jc w:val="left"/>
              <w:rPr>
                <w:rFonts w:hint="default" w:ascii="Times New Roman" w:hAnsi="Times New Roman" w:cs="Times New Roman"/>
                <w:color w:val="auto"/>
              </w:rPr>
            </w:pPr>
            <w:r>
              <w:rPr>
                <w:rFonts w:hint="default" w:ascii="Times New Roman" w:hAnsi="Times New Roman" w:eastAsia="宋体" w:cs="Times New Roman"/>
                <w:color w:val="auto"/>
                <w:sz w:val="20"/>
              </w:rPr>
              <w:t>地理位置</w:t>
            </w:r>
          </w:p>
        </w:tc>
        <w:tc>
          <w:tcPr>
            <w:tcW w:w="1472" w:type="dxa"/>
          </w:tcPr>
          <w:p>
            <w:pPr>
              <w:spacing w:before="180" w:line="300" w:lineRule="exact"/>
              <w:jc w:val="center"/>
              <w:rPr>
                <w:rFonts w:hint="default" w:ascii="Times New Roman" w:hAnsi="Times New Roman" w:cs="Times New Roman"/>
                <w:color w:val="auto"/>
              </w:rPr>
            </w:pPr>
            <w:r>
              <w:rPr>
                <w:rFonts w:hint="default" w:ascii="Times New Roman" w:hAnsi="Times New Roman" w:eastAsia="宋体" w:cs="Times New Roman"/>
                <w:color w:val="auto"/>
                <w:sz w:val="20"/>
              </w:rPr>
              <w:t>矿区范围</w:t>
            </w:r>
          </w:p>
          <w:p>
            <w:pPr>
              <w:spacing w:line="272" w:lineRule="exact"/>
              <w:jc w:val="center"/>
              <w:rPr>
                <w:rFonts w:hint="default" w:ascii="Times New Roman" w:hAnsi="Times New Roman" w:cs="Times New Roman"/>
                <w:color w:val="auto"/>
              </w:rPr>
            </w:pPr>
            <w:r>
              <w:rPr>
                <w:rFonts w:hint="default" w:ascii="Times New Roman" w:hAnsi="Times New Roman" w:eastAsia="宋体" w:cs="Times New Roman"/>
                <w:color w:val="auto"/>
                <w:sz w:val="20"/>
              </w:rPr>
              <w:t>拐点坐标</w:t>
            </w:r>
          </w:p>
        </w:tc>
        <w:tc>
          <w:tcPr>
            <w:tcW w:w="1334" w:type="dxa"/>
          </w:tcPr>
          <w:p>
            <w:pPr>
              <w:spacing w:before="169" w:line="291" w:lineRule="exact"/>
              <w:jc w:val="center"/>
              <w:rPr>
                <w:rFonts w:hint="default" w:ascii="Times New Roman" w:hAnsi="Times New Roman" w:cs="Times New Roman"/>
                <w:color w:val="auto"/>
              </w:rPr>
            </w:pPr>
            <w:r>
              <w:rPr>
                <w:rFonts w:hint="default" w:ascii="Times New Roman" w:hAnsi="Times New Roman" w:eastAsia="宋体" w:cs="Times New Roman"/>
                <w:color w:val="auto"/>
                <w:sz w:val="20"/>
              </w:rPr>
              <w:t>矿区面积</w:t>
            </w:r>
          </w:p>
          <w:p>
            <w:pPr>
              <w:spacing w:line="291" w:lineRule="exact"/>
              <w:ind w:left="120"/>
              <w:jc w:val="left"/>
              <w:rPr>
                <w:rFonts w:hint="default" w:ascii="Times New Roman" w:hAnsi="Times New Roman" w:cs="Times New Roman"/>
                <w:color w:val="auto"/>
              </w:rPr>
            </w:pPr>
            <w:r>
              <w:rPr>
                <w:rFonts w:hint="default" w:ascii="Times New Roman" w:hAnsi="Times New Roman" w:eastAsia="宋体" w:cs="Times New Roman"/>
                <w:color w:val="auto"/>
                <w:sz w:val="20"/>
              </w:rPr>
              <w:t>（平方公里）</w:t>
            </w:r>
          </w:p>
        </w:tc>
        <w:tc>
          <w:tcPr>
            <w:tcW w:w="1117" w:type="dxa"/>
            <w:vAlign w:val="center"/>
          </w:tcPr>
          <w:p>
            <w:pPr>
              <w:spacing w:line="266" w:lineRule="exact"/>
              <w:ind w:left="100"/>
              <w:jc w:val="left"/>
              <w:rPr>
                <w:rFonts w:hint="default" w:ascii="Times New Roman" w:hAnsi="Times New Roman" w:eastAsia="宋体" w:cs="Times New Roman"/>
                <w:color w:val="auto"/>
              </w:rPr>
            </w:pPr>
            <w:r>
              <w:rPr>
                <w:rFonts w:hint="default" w:ascii="Times New Roman" w:hAnsi="Times New Roman" w:eastAsia="宋体" w:cs="Times New Roman"/>
                <w:color w:val="auto"/>
                <w:sz w:val="20"/>
              </w:rPr>
              <w:t>资源储量（详查）</w:t>
            </w:r>
          </w:p>
        </w:tc>
        <w:tc>
          <w:tcPr>
            <w:tcW w:w="1115" w:type="dxa"/>
          </w:tcPr>
          <w:p>
            <w:pPr>
              <w:spacing w:before="154" w:line="304" w:lineRule="exact"/>
              <w:jc w:val="center"/>
              <w:rPr>
                <w:rFonts w:hint="default" w:ascii="Times New Roman" w:hAnsi="Times New Roman" w:cs="Times New Roman"/>
                <w:color w:val="auto"/>
              </w:rPr>
            </w:pPr>
            <w:r>
              <w:rPr>
                <w:rFonts w:hint="default" w:ascii="Times New Roman" w:hAnsi="Times New Roman" w:eastAsia="宋体" w:cs="Times New Roman"/>
                <w:color w:val="auto"/>
                <w:sz w:val="20"/>
              </w:rPr>
              <w:t>开采</w:t>
            </w:r>
          </w:p>
          <w:p>
            <w:pPr>
              <w:spacing w:line="278" w:lineRule="exact"/>
              <w:jc w:val="center"/>
              <w:rPr>
                <w:rFonts w:hint="default" w:ascii="Times New Roman" w:hAnsi="Times New Roman" w:cs="Times New Roman"/>
                <w:color w:val="auto"/>
              </w:rPr>
            </w:pPr>
            <w:r>
              <w:rPr>
                <w:rFonts w:hint="default" w:ascii="Times New Roman" w:hAnsi="Times New Roman" w:eastAsia="宋体" w:cs="Times New Roman"/>
                <w:color w:val="auto"/>
                <w:sz w:val="20"/>
              </w:rPr>
              <w:t>标高</w:t>
            </w:r>
          </w:p>
        </w:tc>
        <w:tc>
          <w:tcPr>
            <w:tcW w:w="799" w:type="dxa"/>
          </w:tcPr>
          <w:p>
            <w:pPr>
              <w:spacing w:before="178" w:line="291" w:lineRule="exact"/>
              <w:ind w:left="60"/>
              <w:jc w:val="left"/>
              <w:rPr>
                <w:rFonts w:hint="default" w:ascii="Times New Roman" w:hAnsi="Times New Roman" w:cs="Times New Roman"/>
                <w:color w:val="auto"/>
              </w:rPr>
            </w:pPr>
            <w:r>
              <w:rPr>
                <w:rFonts w:hint="default" w:ascii="Times New Roman" w:hAnsi="Times New Roman" w:eastAsia="宋体" w:cs="Times New Roman"/>
                <w:color w:val="auto"/>
                <w:sz w:val="20"/>
              </w:rPr>
              <w:t>出让年</w:t>
            </w:r>
          </w:p>
          <w:p>
            <w:pPr>
              <w:spacing w:line="307" w:lineRule="exact"/>
              <w:ind w:left="60"/>
              <w:jc w:val="left"/>
              <w:rPr>
                <w:rFonts w:hint="default" w:ascii="Times New Roman" w:hAnsi="Times New Roman" w:cs="Times New Roman"/>
                <w:color w:val="auto"/>
              </w:rPr>
            </w:pPr>
            <w:r>
              <w:rPr>
                <w:rFonts w:hint="default" w:ascii="Times New Roman" w:hAnsi="Times New Roman" w:eastAsia="宋体" w:cs="Times New Roman"/>
                <w:color w:val="auto"/>
                <w:sz w:val="20"/>
              </w:rPr>
              <w:t>限（年）</w:t>
            </w:r>
          </w:p>
        </w:tc>
        <w:tc>
          <w:tcPr>
            <w:tcW w:w="1472" w:type="dxa"/>
            <w:vAlign w:val="center"/>
          </w:tcPr>
          <w:p>
            <w:pPr>
              <w:spacing w:line="260" w:lineRule="exact"/>
              <w:ind w:left="260"/>
              <w:jc w:val="left"/>
              <w:rPr>
                <w:rFonts w:hint="default" w:ascii="Times New Roman" w:hAnsi="Times New Roman" w:cs="Times New Roman"/>
                <w:color w:val="auto"/>
              </w:rPr>
            </w:pPr>
            <w:r>
              <w:rPr>
                <w:rFonts w:hint="default" w:ascii="Times New Roman" w:hAnsi="Times New Roman" w:eastAsia="宋体" w:cs="Times New Roman"/>
                <w:color w:val="auto"/>
                <w:sz w:val="20"/>
              </w:rPr>
              <w:t>生产规模</w:t>
            </w:r>
          </w:p>
        </w:tc>
        <w:tc>
          <w:tcPr>
            <w:tcW w:w="1115" w:type="dxa"/>
          </w:tcPr>
          <w:p>
            <w:pPr>
              <w:spacing w:before="30" w:line="285" w:lineRule="exact"/>
              <w:ind w:left="80"/>
              <w:jc w:val="left"/>
              <w:rPr>
                <w:rFonts w:hint="default" w:ascii="Times New Roman" w:hAnsi="Times New Roman" w:cs="Times New Roman"/>
                <w:color w:val="auto"/>
              </w:rPr>
            </w:pPr>
            <w:r>
              <w:rPr>
                <w:rFonts w:hint="default" w:ascii="Times New Roman" w:hAnsi="Times New Roman" w:eastAsia="宋体" w:cs="Times New Roman"/>
                <w:color w:val="auto"/>
                <w:sz w:val="20"/>
              </w:rPr>
              <w:t>出让收益</w:t>
            </w:r>
          </w:p>
          <w:p>
            <w:pPr>
              <w:spacing w:line="272" w:lineRule="exact"/>
              <w:ind w:left="160"/>
              <w:jc w:val="left"/>
              <w:rPr>
                <w:rFonts w:hint="default" w:ascii="Times New Roman" w:hAnsi="Times New Roman" w:cs="Times New Roman"/>
                <w:color w:val="auto"/>
              </w:rPr>
            </w:pPr>
            <w:r>
              <w:rPr>
                <w:rFonts w:hint="default" w:ascii="Times New Roman" w:hAnsi="Times New Roman" w:eastAsia="宋体" w:cs="Times New Roman"/>
                <w:color w:val="auto"/>
                <w:sz w:val="20"/>
              </w:rPr>
              <w:t>起始价</w:t>
            </w:r>
          </w:p>
          <w:p>
            <w:pPr>
              <w:spacing w:line="300" w:lineRule="exact"/>
              <w:ind w:left="160"/>
              <w:jc w:val="left"/>
              <w:rPr>
                <w:rFonts w:hint="default" w:ascii="Times New Roman" w:hAnsi="Times New Roman" w:cs="Times New Roman"/>
                <w:color w:val="auto"/>
              </w:rPr>
            </w:pPr>
            <w:r>
              <w:rPr>
                <w:rFonts w:hint="default" w:ascii="Times New Roman" w:hAnsi="Times New Roman" w:eastAsia="宋体" w:cs="Times New Roman"/>
                <w:color w:val="auto"/>
                <w:sz w:val="20"/>
              </w:rPr>
              <w:t>（万元）</w:t>
            </w:r>
          </w:p>
        </w:tc>
        <w:tc>
          <w:tcPr>
            <w:tcW w:w="858" w:type="dxa"/>
            <w:vAlign w:val="center"/>
          </w:tcPr>
          <w:p>
            <w:pPr>
              <w:spacing w:line="291" w:lineRule="exact"/>
              <w:ind w:left="80"/>
              <w:jc w:val="left"/>
              <w:rPr>
                <w:rFonts w:hint="default" w:ascii="Times New Roman" w:hAnsi="Times New Roman" w:cs="Times New Roman"/>
                <w:color w:val="auto"/>
              </w:rPr>
            </w:pPr>
            <w:r>
              <w:rPr>
                <w:rFonts w:hint="default" w:ascii="Times New Roman" w:hAnsi="Times New Roman" w:eastAsia="宋体" w:cs="Times New Roman"/>
                <w:color w:val="auto"/>
                <w:sz w:val="20"/>
              </w:rPr>
              <w:t>保证金</w:t>
            </w:r>
          </w:p>
          <w:p>
            <w:pPr>
              <w:spacing w:line="291" w:lineRule="exact"/>
              <w:ind w:left="60"/>
              <w:jc w:val="left"/>
              <w:rPr>
                <w:rFonts w:hint="default" w:ascii="Times New Roman" w:hAnsi="Times New Roman" w:cs="Times New Roman"/>
                <w:color w:val="auto"/>
              </w:rPr>
            </w:pPr>
            <w:r>
              <w:rPr>
                <w:rFonts w:hint="default" w:ascii="Times New Roman" w:hAnsi="Times New Roman" w:eastAsia="宋体" w:cs="Times New Roman"/>
                <w:color w:val="auto"/>
                <w:sz w:val="20"/>
              </w:rPr>
              <w:t>金额（万</w:t>
            </w:r>
          </w:p>
          <w:p>
            <w:pPr>
              <w:spacing w:line="266" w:lineRule="exact"/>
              <w:ind w:left="260"/>
              <w:jc w:val="left"/>
              <w:rPr>
                <w:rFonts w:hint="default" w:ascii="Times New Roman" w:hAnsi="Times New Roman" w:cs="Times New Roman"/>
                <w:color w:val="auto"/>
              </w:rPr>
            </w:pPr>
            <w:r>
              <w:rPr>
                <w:rFonts w:hint="default" w:ascii="Times New Roman" w:hAnsi="Times New Roman" w:eastAsia="宋体" w:cs="Times New Roman"/>
                <w:color w:val="auto"/>
                <w:sz w:val="2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220" w:hRule="atLeast"/>
          <w:jc w:val="center"/>
        </w:trPr>
        <w:tc>
          <w:tcPr>
            <w:tcW w:w="1117" w:type="dxa"/>
          </w:tcPr>
          <w:p>
            <w:pPr>
              <w:spacing w:line="320" w:lineRule="exact"/>
              <w:ind w:left="60"/>
              <w:jc w:val="left"/>
              <w:rPr>
                <w:rFonts w:hint="default" w:ascii="Times New Roman" w:hAnsi="Times New Roman" w:eastAsia="宋体" w:cs="Times New Roman"/>
                <w:color w:val="auto"/>
                <w:lang w:eastAsia="zh-CN"/>
              </w:rPr>
            </w:pPr>
            <w:r>
              <w:rPr>
                <w:rFonts w:hint="default" w:ascii="Times New Roman" w:hAnsi="Times New Roman" w:eastAsia="宋体" w:cs="Times New Roman"/>
                <w:color w:val="auto"/>
                <w:sz w:val="24"/>
                <w:szCs w:val="24"/>
                <w:lang w:val="en-US" w:eastAsia="zh-CN"/>
              </w:rPr>
              <w:t>HC</w:t>
            </w:r>
            <w:r>
              <w:rPr>
                <w:rFonts w:hint="default" w:ascii="Times New Roman" w:hAnsi="Times New Roman" w:eastAsia="宋体" w:cs="Times New Roman"/>
                <w:color w:val="auto"/>
                <w:sz w:val="24"/>
                <w:szCs w:val="24"/>
              </w:rPr>
              <w:t>GC20230</w:t>
            </w:r>
            <w:r>
              <w:rPr>
                <w:rFonts w:hint="default" w:ascii="Times New Roman" w:hAnsi="Times New Roman" w:eastAsia="宋体" w:cs="Times New Roman"/>
                <w:color w:val="auto"/>
                <w:sz w:val="24"/>
                <w:szCs w:val="24"/>
                <w:lang w:val="en-US" w:eastAsia="zh-CN"/>
              </w:rPr>
              <w:t>3</w:t>
            </w:r>
          </w:p>
        </w:tc>
        <w:tc>
          <w:tcPr>
            <w:tcW w:w="1513" w:type="dxa"/>
          </w:tcPr>
          <w:p>
            <w:pPr>
              <w:spacing w:line="300" w:lineRule="exact"/>
              <w:jc w:val="center"/>
              <w:rPr>
                <w:rFonts w:hint="default" w:ascii="Times New Roman" w:hAnsi="Times New Roman" w:eastAsia="宋体" w:cs="Times New Roman"/>
                <w:color w:val="auto"/>
              </w:rPr>
            </w:pPr>
            <w:r>
              <w:rPr>
                <w:rFonts w:hint="default" w:ascii="Times New Roman" w:hAnsi="Times New Roman" w:eastAsia="宋体" w:cs="Times New Roman"/>
                <w:color w:val="auto"/>
                <w:sz w:val="20"/>
              </w:rPr>
              <w:t>合川区三汇镇老龙村九社水泥用灰岩矿段采矿权</w:t>
            </w:r>
          </w:p>
        </w:tc>
        <w:tc>
          <w:tcPr>
            <w:tcW w:w="1114" w:type="dxa"/>
          </w:tcPr>
          <w:p>
            <w:pPr>
              <w:spacing w:line="300" w:lineRule="exact"/>
              <w:ind w:left="180"/>
              <w:jc w:val="center"/>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水泥</w:t>
            </w:r>
          </w:p>
          <w:p>
            <w:pPr>
              <w:spacing w:line="280" w:lineRule="exact"/>
              <w:ind w:left="180"/>
              <w:jc w:val="left"/>
              <w:rPr>
                <w:rFonts w:hint="default" w:ascii="Times New Roman" w:hAnsi="Times New Roman" w:cs="Times New Roman"/>
                <w:color w:val="auto"/>
              </w:rPr>
            </w:pPr>
            <w:r>
              <w:rPr>
                <w:rFonts w:hint="default" w:ascii="Times New Roman" w:hAnsi="Times New Roman" w:eastAsia="宋体" w:cs="Times New Roman"/>
                <w:color w:val="auto"/>
                <w:sz w:val="20"/>
              </w:rPr>
              <w:t>用灰岩</w:t>
            </w:r>
          </w:p>
        </w:tc>
        <w:tc>
          <w:tcPr>
            <w:tcW w:w="1114" w:type="dxa"/>
          </w:tcPr>
          <w:p>
            <w:pPr>
              <w:spacing w:line="300" w:lineRule="exact"/>
              <w:ind w:left="180"/>
              <w:jc w:val="center"/>
              <w:rPr>
                <w:rFonts w:hint="default" w:ascii="Times New Roman" w:hAnsi="Times New Roman" w:cs="Times New Roman"/>
                <w:color w:val="auto"/>
              </w:rPr>
            </w:pPr>
            <w:r>
              <w:rPr>
                <w:rFonts w:hint="default" w:ascii="Times New Roman" w:hAnsi="Times New Roman" w:eastAsia="宋体" w:cs="Times New Roman"/>
                <w:color w:val="auto"/>
                <w:sz w:val="20"/>
              </w:rPr>
              <w:t>合川区三汇镇老龙村九社</w:t>
            </w:r>
          </w:p>
        </w:tc>
        <w:tc>
          <w:tcPr>
            <w:tcW w:w="1472" w:type="dxa"/>
          </w:tcPr>
          <w:p>
            <w:pPr>
              <w:spacing w:line="300" w:lineRule="exact"/>
              <w:ind w:left="100"/>
              <w:jc w:val="left"/>
              <w:rPr>
                <w:rFonts w:hint="default" w:ascii="Times New Roman" w:hAnsi="Times New Roman" w:cs="Times New Roman"/>
                <w:color w:val="auto"/>
              </w:rPr>
            </w:pPr>
            <w:r>
              <w:rPr>
                <w:rFonts w:hint="default" w:ascii="Times New Roman" w:hAnsi="Times New Roman" w:eastAsia="宋体" w:cs="Times New Roman"/>
                <w:color w:val="auto"/>
                <w:sz w:val="20"/>
              </w:rPr>
              <w:t>详见《竞买须</w:t>
            </w:r>
          </w:p>
          <w:p>
            <w:pPr>
              <w:spacing w:line="300" w:lineRule="exact"/>
              <w:jc w:val="center"/>
              <w:rPr>
                <w:rFonts w:hint="default" w:ascii="Times New Roman" w:hAnsi="Times New Roman" w:cs="Times New Roman"/>
                <w:color w:val="auto"/>
              </w:rPr>
            </w:pPr>
            <w:r>
              <w:rPr>
                <w:rFonts w:hint="default" w:ascii="Times New Roman" w:hAnsi="Times New Roman" w:eastAsia="宋体" w:cs="Times New Roman"/>
                <w:color w:val="auto"/>
                <w:sz w:val="20"/>
              </w:rPr>
              <w:t>知》</w:t>
            </w:r>
          </w:p>
        </w:tc>
        <w:tc>
          <w:tcPr>
            <w:tcW w:w="1334" w:type="dxa"/>
          </w:tcPr>
          <w:p>
            <w:pPr>
              <w:spacing w:before="21" w:line="240" w:lineRule="exact"/>
              <w:jc w:val="center"/>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0.1843</w:t>
            </w:r>
          </w:p>
        </w:tc>
        <w:tc>
          <w:tcPr>
            <w:tcW w:w="1117" w:type="dxa"/>
          </w:tcPr>
          <w:p>
            <w:pPr>
              <w:spacing w:before="5" w:line="260" w:lineRule="exact"/>
              <w:ind w:left="80"/>
              <w:jc w:val="left"/>
              <w:rPr>
                <w:rFonts w:hint="default" w:ascii="Times New Roman" w:hAnsi="Times New Roman" w:cs="Times New Roman"/>
                <w:color w:val="auto"/>
              </w:rPr>
            </w:pPr>
            <w:r>
              <w:rPr>
                <w:rFonts w:hint="default" w:ascii="Times New Roman" w:hAnsi="Times New Roman" w:eastAsia="宋体" w:cs="Times New Roman"/>
                <w:color w:val="auto"/>
                <w:sz w:val="20"/>
                <w:lang w:val="en-US" w:eastAsia="zh-CN"/>
              </w:rPr>
              <w:t>350.1</w:t>
            </w:r>
            <w:r>
              <w:rPr>
                <w:rFonts w:hint="default" w:ascii="Times New Roman" w:hAnsi="Times New Roman" w:eastAsia="宋体" w:cs="Times New Roman"/>
                <w:color w:val="auto"/>
                <w:sz w:val="20"/>
              </w:rPr>
              <w:t>万吨</w:t>
            </w:r>
          </w:p>
        </w:tc>
        <w:tc>
          <w:tcPr>
            <w:tcW w:w="1115" w:type="dxa"/>
          </w:tcPr>
          <w:p>
            <w:pPr>
              <w:spacing w:line="280" w:lineRule="exact"/>
              <w:ind w:left="80"/>
              <w:jc w:val="left"/>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＋658米至</w:t>
            </w:r>
          </w:p>
          <w:p>
            <w:pPr>
              <w:spacing w:line="280" w:lineRule="exact"/>
              <w:ind w:left="160"/>
              <w:jc w:val="left"/>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＋511米</w:t>
            </w:r>
          </w:p>
        </w:tc>
        <w:tc>
          <w:tcPr>
            <w:tcW w:w="799" w:type="dxa"/>
          </w:tcPr>
          <w:p>
            <w:pPr>
              <w:spacing w:line="272" w:lineRule="exact"/>
              <w:jc w:val="center"/>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1.1</w:t>
            </w:r>
          </w:p>
        </w:tc>
        <w:tc>
          <w:tcPr>
            <w:tcW w:w="1472" w:type="dxa"/>
          </w:tcPr>
          <w:p>
            <w:pPr>
              <w:spacing w:line="260" w:lineRule="exact"/>
              <w:ind w:left="160"/>
              <w:jc w:val="left"/>
              <w:rPr>
                <w:rFonts w:hint="default" w:ascii="Times New Roman" w:hAnsi="Times New Roman" w:cs="Times New Roman"/>
                <w:color w:val="auto"/>
              </w:rPr>
            </w:pPr>
            <w:r>
              <w:rPr>
                <w:rFonts w:hint="default" w:ascii="Times New Roman" w:hAnsi="Times New Roman" w:eastAsia="宋体" w:cs="Times New Roman"/>
                <w:color w:val="auto"/>
                <w:sz w:val="20"/>
              </w:rPr>
              <w:t>280万吨/年</w:t>
            </w:r>
          </w:p>
        </w:tc>
        <w:tc>
          <w:tcPr>
            <w:tcW w:w="1115" w:type="dxa"/>
          </w:tcPr>
          <w:p>
            <w:pPr>
              <w:spacing w:line="272" w:lineRule="exact"/>
              <w:jc w:val="center"/>
              <w:rPr>
                <w:rFonts w:hint="default" w:ascii="Times New Roman" w:hAnsi="Times New Roman" w:eastAsia="宋体" w:cs="Times New Roman"/>
                <w:color w:val="auto"/>
                <w:sz w:val="20"/>
              </w:rPr>
            </w:pPr>
            <w:r>
              <w:rPr>
                <w:rFonts w:hint="default" w:ascii="Times New Roman" w:hAnsi="Times New Roman" w:eastAsia="宋体" w:cs="Times New Roman"/>
                <w:color w:val="auto"/>
                <w:sz w:val="20"/>
                <w:lang w:val="en-US" w:eastAsia="zh-CN"/>
              </w:rPr>
              <w:t>2975.85</w:t>
            </w:r>
          </w:p>
        </w:tc>
        <w:tc>
          <w:tcPr>
            <w:tcW w:w="858" w:type="dxa"/>
          </w:tcPr>
          <w:p>
            <w:pPr>
              <w:spacing w:before="7" w:line="280" w:lineRule="exact"/>
              <w:ind w:left="200"/>
              <w:jc w:val="left"/>
              <w:rPr>
                <w:rFonts w:hint="default" w:ascii="Times New Roman" w:hAnsi="Times New Roman" w:eastAsia="宋体" w:cs="Times New Roman"/>
                <w:color w:val="auto"/>
                <w:sz w:val="20"/>
                <w:lang w:val="en-US" w:eastAsia="zh-CN"/>
              </w:rPr>
            </w:pPr>
            <w:r>
              <w:rPr>
                <w:rFonts w:hint="default" w:ascii="Times New Roman" w:hAnsi="Times New Roman" w:eastAsia="宋体" w:cs="Times New Roman"/>
                <w:color w:val="auto"/>
                <w:sz w:val="20"/>
                <w:lang w:val="en-US" w:eastAsia="zh-CN"/>
              </w:rPr>
              <w:t>595.17</w:t>
            </w:r>
          </w:p>
        </w:tc>
      </w:tr>
    </w:tbl>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多目标管理、开发全过程动态管理要求按相关法律法规执行；土地复垦、矿山地质环境保护与治理恢复按批准的方案执行。</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三、采矿权竞买申请人资格要求</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（一）竞买申请人须为营利法人；</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（二）竞买申请人属于以下情形之一的不得参与竞买：</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1、被纳入自然资源部矿业权人勘查开采信息公示系统“矿业权人严重违法名单”的；</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2．通过“信用中国”查询，被纳入自然资源部联合惩戒备忘录或重庆市信用惩戒严重失信主体“黑名单”的；</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3．被吊销采矿许可证之日起2年内的。</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四、出让方式及交易时间、地点</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1、出让方式：挂牌出让</w:t>
      </w:r>
    </w:p>
    <w:p>
      <w:pPr>
        <w:spacing w:line="340" w:lineRule="exact"/>
        <w:ind w:left="239" w:leftChars="114" w:firstLine="496" w:firstLineChars="207"/>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2、公告时间：2023年</w:t>
      </w:r>
      <w:r>
        <w:rPr>
          <w:rFonts w:hint="default" w:ascii="Times New Roman" w:hAnsi="Times New Roman" w:eastAsia="宋体" w:cs="Times New Roman"/>
          <w:color w:val="auto"/>
          <w:sz w:val="24"/>
          <w:lang w:val="en-US" w:eastAsia="zh-CN"/>
        </w:rPr>
        <w:t>5</w:t>
      </w:r>
      <w:r>
        <w:rPr>
          <w:rFonts w:hint="default" w:ascii="Times New Roman" w:hAnsi="Times New Roman" w:eastAsia="宋体" w:cs="Times New Roman"/>
          <w:color w:val="auto"/>
          <w:sz w:val="24"/>
        </w:rPr>
        <w:t>月</w:t>
      </w:r>
      <w:r>
        <w:rPr>
          <w:rFonts w:hint="default" w:ascii="Times New Roman" w:hAnsi="Times New Roman" w:eastAsia="宋体" w:cs="Times New Roman"/>
          <w:color w:val="auto"/>
          <w:sz w:val="24"/>
          <w:lang w:val="en-US" w:eastAsia="zh-CN"/>
        </w:rPr>
        <w:t>6</w:t>
      </w:r>
      <w:r>
        <w:rPr>
          <w:rFonts w:hint="default" w:ascii="Times New Roman" w:hAnsi="Times New Roman" w:eastAsia="宋体" w:cs="Times New Roman"/>
          <w:color w:val="auto"/>
          <w:sz w:val="24"/>
        </w:rPr>
        <w:t>日09时-2023年</w:t>
      </w:r>
      <w:r>
        <w:rPr>
          <w:rFonts w:hint="default" w:ascii="Times New Roman" w:hAnsi="Times New Roman" w:eastAsia="宋体" w:cs="Times New Roman"/>
          <w:color w:val="auto"/>
          <w:sz w:val="24"/>
          <w:lang w:val="en-US" w:eastAsia="zh-CN"/>
        </w:rPr>
        <w:t>6</w:t>
      </w:r>
      <w:r>
        <w:rPr>
          <w:rFonts w:hint="default" w:ascii="Times New Roman" w:hAnsi="Times New Roman" w:eastAsia="宋体" w:cs="Times New Roman"/>
          <w:color w:val="auto"/>
          <w:sz w:val="24"/>
        </w:rPr>
        <w:t>月</w:t>
      </w:r>
      <w:r>
        <w:rPr>
          <w:rFonts w:hint="default" w:ascii="Times New Roman" w:hAnsi="Times New Roman" w:eastAsia="宋体" w:cs="Times New Roman"/>
          <w:color w:val="auto"/>
          <w:sz w:val="24"/>
          <w:lang w:val="en-US" w:eastAsia="zh-CN"/>
        </w:rPr>
        <w:t>6</w:t>
      </w:r>
      <w:r>
        <w:rPr>
          <w:rFonts w:hint="default" w:ascii="Times New Roman" w:hAnsi="Times New Roman" w:eastAsia="宋体" w:cs="Times New Roman"/>
          <w:color w:val="auto"/>
          <w:sz w:val="24"/>
        </w:rPr>
        <w:t>日18时。</w:t>
      </w:r>
    </w:p>
    <w:p>
      <w:pPr>
        <w:spacing w:line="340" w:lineRule="exact"/>
        <w:ind w:left="239" w:leftChars="114" w:firstLine="496" w:firstLineChars="207"/>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3、交易时间：2023年</w:t>
      </w:r>
      <w:r>
        <w:rPr>
          <w:rFonts w:hint="default" w:ascii="Times New Roman" w:hAnsi="Times New Roman" w:eastAsia="宋体" w:cs="Times New Roman"/>
          <w:color w:val="auto"/>
          <w:sz w:val="24"/>
          <w:lang w:val="en-US" w:eastAsia="zh-CN"/>
        </w:rPr>
        <w:t>6</w:t>
      </w:r>
      <w:r>
        <w:rPr>
          <w:rFonts w:hint="default" w:ascii="Times New Roman" w:hAnsi="Times New Roman" w:eastAsia="宋体" w:cs="Times New Roman"/>
          <w:color w:val="auto"/>
          <w:sz w:val="24"/>
        </w:rPr>
        <w:t>月</w:t>
      </w:r>
      <w:r>
        <w:rPr>
          <w:rFonts w:hint="default" w:ascii="Times New Roman" w:hAnsi="Times New Roman" w:eastAsia="宋体" w:cs="Times New Roman"/>
          <w:color w:val="auto"/>
          <w:sz w:val="24"/>
          <w:lang w:val="en-US" w:eastAsia="zh-CN"/>
        </w:rPr>
        <w:t>7</w:t>
      </w:r>
      <w:r>
        <w:rPr>
          <w:rFonts w:hint="default" w:ascii="Times New Roman" w:hAnsi="Times New Roman" w:eastAsia="宋体" w:cs="Times New Roman"/>
          <w:color w:val="auto"/>
          <w:sz w:val="24"/>
        </w:rPr>
        <w:t>日至2023年</w:t>
      </w:r>
      <w:r>
        <w:rPr>
          <w:rFonts w:hint="default" w:ascii="Times New Roman" w:hAnsi="Times New Roman" w:eastAsia="宋体" w:cs="Times New Roman"/>
          <w:color w:val="auto"/>
          <w:sz w:val="24"/>
          <w:lang w:val="en-US" w:eastAsia="zh-CN"/>
        </w:rPr>
        <w:t>6</w:t>
      </w:r>
      <w:r>
        <w:rPr>
          <w:rFonts w:hint="default" w:ascii="Times New Roman" w:hAnsi="Times New Roman" w:eastAsia="宋体" w:cs="Times New Roman"/>
          <w:color w:val="auto"/>
          <w:sz w:val="24"/>
        </w:rPr>
        <w:t>月</w:t>
      </w:r>
      <w:r>
        <w:rPr>
          <w:rFonts w:hint="default" w:ascii="Times New Roman" w:hAnsi="Times New Roman" w:eastAsia="宋体" w:cs="Times New Roman"/>
          <w:color w:val="auto"/>
          <w:sz w:val="24"/>
          <w:lang w:val="en-US" w:eastAsia="zh-CN"/>
        </w:rPr>
        <w:t>20</w:t>
      </w:r>
      <w:r>
        <w:rPr>
          <w:rFonts w:hint="default" w:ascii="Times New Roman" w:hAnsi="Times New Roman" w:eastAsia="宋体" w:cs="Times New Roman"/>
          <w:color w:val="auto"/>
          <w:sz w:val="24"/>
        </w:rPr>
        <w:t>日18时。</w:t>
      </w:r>
    </w:p>
    <w:p>
      <w:pPr>
        <w:spacing w:line="340" w:lineRule="exact"/>
        <w:ind w:left="239" w:leftChars="114" w:firstLine="496" w:firstLineChars="207"/>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4、交易地点：重庆市合川区公共资源交易中心，地址：重庆市合川区希尔安大道225号5楼。</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五、获取挂牌文件途径、申请报名时间及方式</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1、出让文件和具体要求，竞买申请人可在公告截止日前到重庆市合川区公共资源交易中心索取相关资料；</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2、报名时间：2023年</w:t>
      </w:r>
      <w:r>
        <w:rPr>
          <w:rFonts w:hint="default"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日09时-2023年</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月</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日18时；</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3、竞买申请人报名时须向合川区公共交易中心提供纸质申请、营业执照、缴纳竞买保证金凭据、竞买人承诺书等资料。</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六、确定竞得人方法</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次挂牌出让不设底价，竞买人不低于起始价的最高报价者为竞得人；如在挂牌期限内只有一家符合资质条件的竞买人，竞买人报价且不低于起始价的，挂牌成交。有多个符合资质条件的竞买人参与竞买，挂牌期限届满，宣布最高报价及其报价者，并现场询问竞买人是否愿意继续竞价，若无竞买人继续报价，最高报价且不低于起始价的竞买人为竞得人；若有愿意继续竞价的，通过限时竞价确定竞得人。</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七、风险提示</w:t>
      </w:r>
    </w:p>
    <w:p>
      <w:pPr>
        <w:spacing w:line="340" w:lineRule="exact"/>
        <w:ind w:left="239" w:leftChars="114" w:firstLine="496" w:firstLineChars="207"/>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r>
        <w:rPr>
          <w:rFonts w:hint="default" w:ascii="Times New Roman" w:hAnsi="Times New Roman" w:eastAsia="宋体" w:cs="Times New Roman"/>
          <w:color w:val="auto"/>
          <w:sz w:val="24"/>
          <w:szCs w:val="24"/>
          <w:lang w:eastAsia="zh-CN"/>
        </w:rPr>
        <w:t>；</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（二）有关涉及该宗采矿权的用地、用水、用电、公路、环保、基础设施等工作，由竞得人自行负责解决并依法完善相关手续；</w:t>
      </w:r>
    </w:p>
    <w:p>
      <w:pPr>
        <w:spacing w:line="340" w:lineRule="exact"/>
        <w:ind w:left="239" w:leftChars="114" w:firstLine="496" w:firstLineChars="207"/>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（三）若竞得人竞得该宗采矿权后，在办理采矿登记所需要件时进行安全、环境评价等认定为不适宜开采的，该宗采矿权按不成交处理</w:t>
      </w:r>
      <w:r>
        <w:rPr>
          <w:rFonts w:hint="default" w:ascii="Times New Roman" w:hAnsi="Times New Roman" w:eastAsia="宋体" w:cs="Times New Roman"/>
          <w:color w:val="auto"/>
          <w:sz w:val="24"/>
          <w:szCs w:val="24"/>
          <w:lang w:eastAsia="zh-CN"/>
        </w:rPr>
        <w:t>；</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竞买人对采矿权现状、公告须知、采矿权出让合同内容、资产评估及其他权益补偿额已完全认可并自愿承担所有风险。</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八、提出异议的方式与途径</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对本次出让的采矿权存有异议的，应在公示期截止前以书面方式向重庆市合川区规划和自然资源局提出；对出让交易程序存有异议的，应在公示期截止前以书面方式向重庆市合川区公共资源交易中心提出。根据所提异议的具体情况，按照《矿业权</w:t>
      </w:r>
      <w:r>
        <w:rPr>
          <w:rFonts w:hint="default" w:ascii="Times New Roman" w:hAnsi="Times New Roman" w:eastAsia="宋体" w:cs="Times New Roman"/>
          <w:color w:val="auto"/>
          <w:sz w:val="24"/>
          <w:szCs w:val="24"/>
          <w:lang w:val="en-US" w:eastAsia="zh-CN"/>
        </w:rPr>
        <w:t>出让</w:t>
      </w:r>
      <w:r>
        <w:rPr>
          <w:rFonts w:hint="default" w:ascii="Times New Roman" w:hAnsi="Times New Roman" w:eastAsia="宋体" w:cs="Times New Roman"/>
          <w:color w:val="auto"/>
          <w:sz w:val="24"/>
          <w:szCs w:val="24"/>
        </w:rPr>
        <w:t>交易规则》等相关规定进行妥善处置。</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九、违约责任</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按本《竞买须知》第九条承担违约责任。</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十、其他重要提示及要求</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公告序号</w:t>
      </w:r>
      <w:r>
        <w:rPr>
          <w:rFonts w:hint="default" w:ascii="Times New Roman" w:hAnsi="Times New Roman" w:eastAsia="宋体" w:cs="Times New Roman"/>
          <w:color w:val="auto"/>
          <w:sz w:val="24"/>
          <w:szCs w:val="24"/>
          <w:lang w:val="en-US" w:eastAsia="zh-CN"/>
        </w:rPr>
        <w:t>HC</w:t>
      </w:r>
      <w:r>
        <w:rPr>
          <w:rFonts w:hint="default" w:ascii="Times New Roman" w:hAnsi="Times New Roman" w:eastAsia="宋体" w:cs="Times New Roman"/>
          <w:color w:val="auto"/>
          <w:sz w:val="24"/>
          <w:szCs w:val="24"/>
        </w:rPr>
        <w:t>GC20230</w:t>
      </w: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采矿权：1．本次公告序号</w:t>
      </w:r>
      <w:r>
        <w:rPr>
          <w:rFonts w:hint="default" w:ascii="Times New Roman" w:hAnsi="Times New Roman" w:eastAsia="宋体" w:cs="Times New Roman"/>
          <w:color w:val="auto"/>
          <w:sz w:val="24"/>
          <w:szCs w:val="24"/>
          <w:lang w:val="en-US" w:eastAsia="zh-CN"/>
        </w:rPr>
        <w:t>HC</w:t>
      </w:r>
      <w:r>
        <w:rPr>
          <w:rFonts w:hint="default" w:ascii="Times New Roman" w:hAnsi="Times New Roman" w:eastAsia="宋体" w:cs="Times New Roman"/>
          <w:color w:val="auto"/>
          <w:sz w:val="24"/>
          <w:szCs w:val="24"/>
        </w:rPr>
        <w:t>GC20230</w:t>
      </w: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采矿权为合川区三汇镇老龙村九社水泥用灰岩矿资源，出让资源量为</w:t>
      </w:r>
      <w:r>
        <w:rPr>
          <w:rFonts w:hint="default" w:ascii="Times New Roman" w:hAnsi="Times New Roman" w:eastAsia="宋体" w:cs="Times New Roman"/>
          <w:color w:val="auto"/>
          <w:sz w:val="24"/>
          <w:szCs w:val="24"/>
          <w:lang w:val="en-US" w:eastAsia="zh-CN"/>
        </w:rPr>
        <w:t>350</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万吨（含边坡资源量）。2．竞得人须自行或委托第三方编制矿山地质环境恢复治理和土地复垦方案并通过审查，同时按照《矿山地质环境保护规定》等相关规定履行矿山地质环境保护相关义务。3．原矿业权人的资产，已由重庆市合川城市建设投资（集团）有限公司委托第三方进行了评估。采矿权人的机器设备、房屋建筑、构筑物及其他辅助设施、原材料、土地租赁费用等资产评估价值为人民币15096.81万元，竞得人将原矿业权人资产按照评估金额人民币15096.81万元由竞得人</w:t>
      </w:r>
      <w:r>
        <w:rPr>
          <w:rFonts w:hint="default" w:ascii="Times New Roman" w:hAnsi="Times New Roman" w:eastAsia="宋体" w:cs="Times New Roman"/>
          <w:color w:val="auto"/>
          <w:sz w:val="24"/>
          <w:szCs w:val="24"/>
          <w:lang w:val="en-US" w:eastAsia="zh-CN"/>
        </w:rPr>
        <w:t>在签订《重庆市采矿权出让合同》前</w:t>
      </w:r>
      <w:r>
        <w:rPr>
          <w:rFonts w:hint="default" w:ascii="Times New Roman" w:hAnsi="Times New Roman" w:eastAsia="宋体" w:cs="Times New Roman"/>
          <w:color w:val="auto"/>
          <w:sz w:val="24"/>
          <w:szCs w:val="24"/>
        </w:rPr>
        <w:t>一次支付给重庆市合川交通设备制造产业发展有限公司，由重庆市合川交通设备制造产业发展有限公司按规定支付给原矿业权人，若由原采矿权人竞得，资产评估价值则不用支付；该宗采矿权前期技术报告等费用35.87万元．由竞得人于《重庆市采矿权出</w:t>
      </w:r>
      <w:r>
        <w:rPr>
          <w:rFonts w:hint="default" w:ascii="Times New Roman" w:hAnsi="Times New Roman" w:eastAsia="宋体" w:cs="Times New Roman"/>
          <w:color w:val="auto"/>
          <w:sz w:val="24"/>
          <w:szCs w:val="24"/>
          <w:lang w:val="en-US" w:eastAsia="zh-CN"/>
        </w:rPr>
        <w:t>让</w:t>
      </w:r>
      <w:r>
        <w:rPr>
          <w:rFonts w:hint="default" w:ascii="Times New Roman" w:hAnsi="Times New Roman" w:eastAsia="宋体" w:cs="Times New Roman"/>
          <w:color w:val="auto"/>
          <w:sz w:val="24"/>
          <w:szCs w:val="24"/>
        </w:rPr>
        <w:t>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4．该宗采矿权涉及的资产评估内容和价值，是为解决原矿权人之前投入，借贷资金等遗留问题，竞得人须在本轮采矿权出让期限内自行消化处置；本轮采矿权出让期限届满后采矿权由政府收回，下轮采矿权包装出让中不再对其矿业权人资产、前期投入等进行评估，且不再纳入采矿权前期包装出让成本中。5．本次公告的</w:t>
      </w:r>
      <w:r>
        <w:rPr>
          <w:rFonts w:hint="default" w:ascii="Times New Roman" w:hAnsi="Times New Roman" w:eastAsia="宋体" w:cs="Times New Roman"/>
          <w:color w:val="auto"/>
          <w:sz w:val="24"/>
          <w:szCs w:val="24"/>
          <w:lang w:val="en-US" w:eastAsia="zh-CN"/>
        </w:rPr>
        <w:t>HC</w:t>
      </w:r>
      <w:r>
        <w:rPr>
          <w:rFonts w:hint="default" w:ascii="Times New Roman" w:hAnsi="Times New Roman" w:eastAsia="宋体" w:cs="Times New Roman"/>
          <w:color w:val="auto"/>
          <w:sz w:val="24"/>
          <w:szCs w:val="24"/>
        </w:rPr>
        <w:t>GC20230</w:t>
      </w: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采矿权，采取无底价挂牌出让</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竞得人的确定方式，按照《矿业权</w:t>
      </w:r>
      <w:r>
        <w:rPr>
          <w:rFonts w:hint="default" w:ascii="Times New Roman" w:hAnsi="Times New Roman" w:eastAsia="宋体" w:cs="Times New Roman"/>
          <w:color w:val="auto"/>
          <w:sz w:val="24"/>
          <w:szCs w:val="24"/>
          <w:lang w:val="en-US" w:eastAsia="zh-CN"/>
        </w:rPr>
        <w:t>出让</w:t>
      </w:r>
      <w:r>
        <w:rPr>
          <w:rFonts w:hint="default" w:ascii="Times New Roman" w:hAnsi="Times New Roman" w:eastAsia="宋体" w:cs="Times New Roman"/>
          <w:color w:val="auto"/>
          <w:sz w:val="24"/>
          <w:szCs w:val="24"/>
        </w:rPr>
        <w:t>交易规则》（自然资规）（2023］1号）相关规定执行。</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十一、竞买保证金缴纳</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竞买保证金到账截止时间为：2023年</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月</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日16时。保证金户名：重庆市合川区公共资源交易中心，开户行：建行重庆合川南新路支行，账号：50001153700050205878。</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如成功竞得，已缴纳的保证金可抵作采矿权出让收益，由竞得人委托重庆市合川区公共资源交易中心支付至财政非税收入专户：如未竞得，可在成交日之后1个工作日内办理退还手续，不计利息。</w:t>
      </w:r>
    </w:p>
    <w:p>
      <w:pPr>
        <w:spacing w:line="340" w:lineRule="exact"/>
        <w:ind w:left="239" w:leftChars="114" w:firstLine="499" w:firstLineChars="207"/>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十二、采矿权出让收益缴纳方式</w:t>
      </w:r>
    </w:p>
    <w:p>
      <w:pPr>
        <w:spacing w:line="340" w:lineRule="exact"/>
        <w:ind w:left="239" w:leftChars="114" w:firstLine="496" w:firstLineChars="207"/>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详见《竞买须知》及附件《采矿权出让合同》。</w:t>
      </w:r>
    </w:p>
    <w:p>
      <w:pPr>
        <w:spacing w:line="340" w:lineRule="exact"/>
        <w:ind w:left="239" w:leftChars="114" w:firstLine="496" w:firstLineChars="207"/>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t>本次公告同步发布的网站：自然资源部公众信息网</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lang w:eastAsia="zh-CN"/>
        </w:rPr>
        <w:t>https://www.mnr.gov.cn</w:t>
      </w:r>
      <w:r>
        <w:rPr>
          <w:rFonts w:hint="default" w:ascii="Times New Roman" w:hAnsi="Times New Roman" w:eastAsia="宋体" w:cs="Times New Roman"/>
          <w:color w:val="auto"/>
          <w:sz w:val="24"/>
          <w:szCs w:val="24"/>
        </w:rPr>
        <w:t>、重庆市规划和自然资源局公众信息网：http：//ghzrzyj.cq.gov.cn、</w:t>
      </w:r>
      <w:r>
        <w:rPr>
          <w:rFonts w:hint="default" w:ascii="Times New Roman" w:hAnsi="Times New Roman" w:eastAsia="宋体" w:cs="Times New Roman"/>
          <w:color w:val="auto"/>
          <w:sz w:val="24"/>
        </w:rPr>
        <w:t>重庆市合川区公共资源交易中心网站：https：//www.cqggzy.com／hechuanweb 。</w:t>
      </w:r>
    </w:p>
    <w:p>
      <w:pPr>
        <w:spacing w:line="340" w:lineRule="exact"/>
        <w:ind w:left="20" w:firstLine="520"/>
        <w:rPr>
          <w:rFonts w:hint="default" w:ascii="Times New Roman" w:hAnsi="Times New Roman" w:eastAsia="宋体" w:cs="Times New Roman"/>
          <w:color w:val="auto"/>
          <w:sz w:val="24"/>
        </w:rPr>
      </w:pPr>
      <w:bookmarkStart w:id="0" w:name="_GoBack"/>
      <w:bookmarkEnd w:id="0"/>
    </w:p>
    <w:p>
      <w:pPr>
        <w:spacing w:line="340" w:lineRule="exact"/>
        <w:ind w:left="20" w:firstLine="520"/>
        <w:rPr>
          <w:rFonts w:hint="default" w:ascii="Times New Roman" w:hAnsi="Times New Roman" w:eastAsia="宋体" w:cs="Times New Roman"/>
          <w:color w:val="auto"/>
          <w:sz w:val="24"/>
        </w:rPr>
      </w:pPr>
    </w:p>
    <w:p>
      <w:pPr>
        <w:spacing w:line="340" w:lineRule="exact"/>
        <w:ind w:left="20" w:firstLine="520"/>
        <w:rPr>
          <w:rFonts w:hint="default" w:ascii="Times New Roman" w:hAnsi="Times New Roman" w:eastAsia="宋体" w:cs="Times New Roman"/>
          <w:color w:val="auto"/>
          <w:sz w:val="24"/>
        </w:rPr>
      </w:pPr>
    </w:p>
    <w:p>
      <w:pPr>
        <w:spacing w:line="340" w:lineRule="exact"/>
        <w:ind w:left="21" w:leftChars="10" w:firstLine="9636" w:firstLineChars="4015"/>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重庆市合川区规划和自然资源局</w:t>
      </w:r>
    </w:p>
    <w:p>
      <w:pPr>
        <w:spacing w:line="340" w:lineRule="exact"/>
        <w:ind w:left="239" w:leftChars="114" w:firstLine="496" w:firstLineChars="207"/>
        <w:rPr>
          <w:rFonts w:hint="default" w:ascii="Times New Roman" w:hAnsi="Times New Roman" w:eastAsia="宋体" w:cs="Times New Roman"/>
          <w:color w:val="auto"/>
          <w:sz w:val="24"/>
        </w:rPr>
      </w:pPr>
    </w:p>
    <w:sectPr>
      <w:type w:val="continuous"/>
      <w:pgSz w:w="17080" w:h="11900" w:orient="landscape"/>
      <w:pgMar w:top="720" w:right="940" w:bottom="1440" w:left="840" w:header="0" w:footer="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BC8"/>
    <w:rsid w:val="000014C4"/>
    <w:rsid w:val="00010827"/>
    <w:rsid w:val="00046697"/>
    <w:rsid w:val="000D6051"/>
    <w:rsid w:val="000D6293"/>
    <w:rsid w:val="000E1D04"/>
    <w:rsid w:val="001156AE"/>
    <w:rsid w:val="00132D40"/>
    <w:rsid w:val="001C227E"/>
    <w:rsid w:val="0020012A"/>
    <w:rsid w:val="00221FBC"/>
    <w:rsid w:val="002616F9"/>
    <w:rsid w:val="002F232C"/>
    <w:rsid w:val="002F2FFD"/>
    <w:rsid w:val="003057C6"/>
    <w:rsid w:val="00444F43"/>
    <w:rsid w:val="00484907"/>
    <w:rsid w:val="00486342"/>
    <w:rsid w:val="004A4A43"/>
    <w:rsid w:val="004A54A5"/>
    <w:rsid w:val="004C1431"/>
    <w:rsid w:val="006176E6"/>
    <w:rsid w:val="00672472"/>
    <w:rsid w:val="006A75CE"/>
    <w:rsid w:val="008039B3"/>
    <w:rsid w:val="008E0060"/>
    <w:rsid w:val="0092028B"/>
    <w:rsid w:val="009E36B7"/>
    <w:rsid w:val="009F0BE0"/>
    <w:rsid w:val="00A140AD"/>
    <w:rsid w:val="00A3760A"/>
    <w:rsid w:val="00A911C9"/>
    <w:rsid w:val="00A914E1"/>
    <w:rsid w:val="00AA2B64"/>
    <w:rsid w:val="00B64093"/>
    <w:rsid w:val="00BA6D97"/>
    <w:rsid w:val="00BB6D46"/>
    <w:rsid w:val="00BD0BC8"/>
    <w:rsid w:val="00BD524F"/>
    <w:rsid w:val="00BE51C0"/>
    <w:rsid w:val="00C370D3"/>
    <w:rsid w:val="00C5180F"/>
    <w:rsid w:val="00C96B87"/>
    <w:rsid w:val="00CD65AB"/>
    <w:rsid w:val="00D62A34"/>
    <w:rsid w:val="00D77A30"/>
    <w:rsid w:val="00DA26A5"/>
    <w:rsid w:val="00DD2B76"/>
    <w:rsid w:val="00E161C7"/>
    <w:rsid w:val="00E5066F"/>
    <w:rsid w:val="00E94FA3"/>
    <w:rsid w:val="0796114A"/>
    <w:rsid w:val="09F76190"/>
    <w:rsid w:val="0B537415"/>
    <w:rsid w:val="132A58AE"/>
    <w:rsid w:val="21B91956"/>
    <w:rsid w:val="2E64007D"/>
    <w:rsid w:val="2E6E494F"/>
    <w:rsid w:val="36F51074"/>
    <w:rsid w:val="3BA44C68"/>
    <w:rsid w:val="3BE467DE"/>
    <w:rsid w:val="3C3230EE"/>
    <w:rsid w:val="3CDC2C3C"/>
    <w:rsid w:val="3DCD52FA"/>
    <w:rsid w:val="43652002"/>
    <w:rsid w:val="451C295D"/>
    <w:rsid w:val="4D626E9D"/>
    <w:rsid w:val="54810213"/>
    <w:rsid w:val="5EDFC79F"/>
    <w:rsid w:val="602D76D9"/>
    <w:rsid w:val="63AC64C5"/>
    <w:rsid w:val="653E32E3"/>
    <w:rsid w:val="663B37FC"/>
    <w:rsid w:val="66A64C63"/>
    <w:rsid w:val="6F7F416B"/>
    <w:rsid w:val="75947979"/>
    <w:rsid w:val="76546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464</Words>
  <Characters>2645</Characters>
  <Lines>22</Lines>
  <Paragraphs>6</Paragraphs>
  <TotalTime>14</TotalTime>
  <ScaleCrop>false</ScaleCrop>
  <LinksUpToDate>false</LinksUpToDate>
  <CharactersWithSpaces>3103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2023-02-06T01:21:00Z</dcterms:created>
  <dc:creator>INTSIG</dc:creator>
  <dc:description>Intsig Word Converter</dc:description>
  <cp:lastModifiedBy>赵国华</cp:lastModifiedBy>
  <cp:lastPrinted>2023-05-04T01:51:00Z</cp:lastPrinted>
  <dcterms:modified xsi:type="dcterms:W3CDTF">2023-05-06T06:51:46Z</dcterms:modified>
  <dc:title>wordbuilder</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84A10B3C6C374E8D81F0866773EA8386</vt:lpwstr>
  </property>
</Properties>
</file>