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020"/>
        <w:jc w:val="center"/>
        <w:rPr>
          <w:b/>
          <w:color w:val="auto"/>
          <w:sz w:val="32"/>
          <w:szCs w:val="32"/>
        </w:rPr>
      </w:pPr>
      <w:r>
        <w:rPr>
          <w:rFonts w:hint="eastAsia" w:ascii="宋体" w:hAnsi="宋体" w:eastAsia="宋体"/>
          <w:b/>
          <w:color w:val="auto"/>
          <w:sz w:val="32"/>
          <w:szCs w:val="32"/>
        </w:rPr>
        <w:t>合川区三汇镇老龙村九社水泥用灰岩矿采矿权</w:t>
      </w:r>
    </w:p>
    <w:p>
      <w:pPr>
        <w:spacing w:after="360" w:line="580" w:lineRule="exact"/>
        <w:jc w:val="center"/>
        <w:rPr>
          <w:b/>
          <w:color w:val="auto"/>
          <w:sz w:val="32"/>
          <w:szCs w:val="32"/>
        </w:rPr>
      </w:pPr>
      <w:r>
        <w:rPr>
          <w:rFonts w:hint="eastAsia" w:ascii="宋体" w:hAnsi="宋体" w:eastAsia="宋体"/>
          <w:b/>
          <w:color w:val="auto"/>
          <w:sz w:val="32"/>
          <w:szCs w:val="32"/>
        </w:rPr>
        <w:t>竞买须知</w:t>
      </w:r>
    </w:p>
    <w:p>
      <w:pPr>
        <w:spacing w:line="440" w:lineRule="exact"/>
        <w:ind w:firstLine="6960"/>
        <w:rPr>
          <w:rFonts w:hint="eastAsia" w:ascii="宋体" w:hAnsi="宋体" w:eastAsia="宋体"/>
          <w:color w:val="auto"/>
          <w:sz w:val="24"/>
          <w:szCs w:val="24"/>
          <w:lang w:val="en-US" w:eastAsia="zh-CN"/>
        </w:rPr>
      </w:pPr>
      <w:r>
        <w:rPr>
          <w:rFonts w:hint="eastAsia" w:ascii="宋体" w:hAnsi="宋体" w:eastAsia="宋体"/>
          <w:color w:val="auto"/>
          <w:sz w:val="24"/>
          <w:szCs w:val="24"/>
        </w:rPr>
        <w:t>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3</w:t>
      </w:r>
    </w:p>
    <w:p>
      <w:pPr>
        <w:spacing w:line="600" w:lineRule="exact"/>
        <w:ind w:firstLine="440"/>
        <w:rPr>
          <w:color w:val="auto"/>
          <w:sz w:val="24"/>
          <w:szCs w:val="24"/>
        </w:rPr>
      </w:pPr>
      <w:r>
        <w:rPr>
          <w:rFonts w:hint="eastAsia" w:ascii="宋体" w:hAnsi="宋体" w:eastAsia="宋体"/>
          <w:color w:val="auto"/>
          <w:sz w:val="24"/>
          <w:szCs w:val="24"/>
        </w:rPr>
        <w:t>合川区三汇镇老龙村九社水泥用灰岩矿位于合川区三汇镇老龙村九社，为重庆太富环保科技集团有限公司大堰石灰石矿山因资源枯竭进行增划资源而扩大矿区范围，为合理开发利用矿产资源，维护矿产资源的国家所有权，建立规范、开放、竞争、有序的矿业权市场，根据自然资源部发布的《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交易规则》等有关规定，决定对该采矿权进行挂牌公开出让。</w:t>
      </w:r>
    </w:p>
    <w:p>
      <w:pPr>
        <w:spacing w:line="600" w:lineRule="exact"/>
        <w:ind w:firstLine="440"/>
        <w:jc w:val="left"/>
        <w:rPr>
          <w:rFonts w:hint="eastAsia" w:ascii="宋体" w:hAnsi="宋体" w:eastAsia="宋体"/>
          <w:color w:val="auto"/>
          <w:sz w:val="24"/>
          <w:szCs w:val="24"/>
          <w:lang w:eastAsia="zh-CN"/>
        </w:rPr>
      </w:pPr>
      <w:r>
        <w:rPr>
          <w:rFonts w:hint="eastAsia" w:ascii="宋体" w:hAnsi="宋体" w:eastAsia="宋体"/>
          <w:color w:val="auto"/>
          <w:sz w:val="24"/>
          <w:szCs w:val="24"/>
        </w:rPr>
        <w:t>本次公告网址为：自然资源部公众信息网</w:t>
      </w:r>
      <w:r>
        <w:rPr>
          <w:rFonts w:hint="eastAsia" w:ascii="宋体" w:hAnsi="宋体" w:eastAsia="宋体"/>
          <w:color w:val="auto"/>
          <w:sz w:val="24"/>
          <w:szCs w:val="24"/>
          <w:lang w:eastAsia="zh-CN"/>
        </w:rPr>
        <w:t>（</w:t>
      </w:r>
      <w:r>
        <w:rPr>
          <w:rFonts w:hint="eastAsia" w:ascii="宋体" w:hAnsi="宋体" w:eastAsia="宋体"/>
          <w:color w:val="auto"/>
          <w:sz w:val="24"/>
          <w:lang w:eastAsia="zh-CN"/>
        </w:rPr>
        <w:t>https://www.mnr.gov.cn</w:t>
      </w:r>
      <w:r>
        <w:rPr>
          <w:rFonts w:hint="eastAsia" w:ascii="宋体" w:hAnsi="宋体" w:eastAsia="宋体"/>
          <w:color w:val="auto"/>
          <w:sz w:val="24"/>
          <w:szCs w:val="24"/>
          <w:lang w:eastAsia="zh-CN"/>
        </w:rPr>
        <w:t>）</w:t>
      </w:r>
      <w:r>
        <w:rPr>
          <w:rFonts w:hint="eastAsia" w:ascii="宋体" w:hAnsi="宋体" w:eastAsia="宋体"/>
          <w:color w:val="auto"/>
          <w:sz w:val="24"/>
          <w:szCs w:val="24"/>
        </w:rPr>
        <w:t>、重庆市规划和自然资源局公众信息网</w:t>
      </w:r>
      <w:r>
        <w:rPr>
          <w:rFonts w:hint="eastAsia" w:ascii="宋体" w:hAnsi="宋体" w:eastAsia="宋体"/>
          <w:color w:val="auto"/>
          <w:sz w:val="24"/>
          <w:szCs w:val="24"/>
          <w:lang w:eastAsia="zh-CN"/>
        </w:rPr>
        <w:t>（</w:t>
      </w:r>
      <w:r>
        <w:rPr>
          <w:rFonts w:hint="eastAsia" w:ascii="宋体" w:hAnsi="宋体" w:eastAsia="宋体"/>
          <w:color w:val="auto"/>
          <w:sz w:val="24"/>
          <w:szCs w:val="24"/>
        </w:rPr>
        <w:t>http：//ghzrzyj.cq.gov.cn</w:t>
      </w:r>
      <w:r>
        <w:rPr>
          <w:rFonts w:hint="eastAsia" w:ascii="宋体" w:hAnsi="宋体" w:eastAsia="宋体"/>
          <w:color w:val="auto"/>
          <w:sz w:val="24"/>
          <w:szCs w:val="24"/>
          <w:lang w:eastAsia="zh-CN"/>
        </w:rPr>
        <w:t>）</w:t>
      </w:r>
      <w:r>
        <w:rPr>
          <w:rFonts w:hint="eastAsia" w:ascii="宋体" w:hAnsi="宋体" w:eastAsia="宋体"/>
          <w:color w:val="auto"/>
          <w:sz w:val="24"/>
          <w:szCs w:val="24"/>
        </w:rPr>
        <w:t>、重庆市合川区公共资源交易中心（https：//www.cqggzy.com/hechuanweb）</w:t>
      </w:r>
      <w:r>
        <w:rPr>
          <w:rFonts w:hint="eastAsia" w:ascii="宋体" w:hAnsi="宋体" w:eastAsia="宋体"/>
          <w:color w:val="auto"/>
          <w:sz w:val="24"/>
          <w:szCs w:val="24"/>
          <w:lang w:eastAsia="zh-CN"/>
        </w:rPr>
        <w:t>。</w:t>
      </w:r>
    </w:p>
    <w:p>
      <w:pPr>
        <w:spacing w:line="600" w:lineRule="exact"/>
        <w:ind w:firstLine="440"/>
        <w:jc w:val="left"/>
        <w:rPr>
          <w:color w:val="auto"/>
          <w:sz w:val="24"/>
          <w:szCs w:val="24"/>
        </w:rPr>
      </w:pPr>
      <w:r>
        <w:rPr>
          <w:rFonts w:hint="eastAsia" w:ascii="宋体" w:hAnsi="宋体" w:eastAsia="宋体"/>
          <w:color w:val="auto"/>
          <w:sz w:val="24"/>
          <w:szCs w:val="24"/>
        </w:rPr>
        <w:t>此次采矿权公开出让遵循公开、公平、公正和诚实信用原则，并按价高者得的原则确定竞得人。</w:t>
      </w:r>
    </w:p>
    <w:p>
      <w:pPr>
        <w:spacing w:line="600" w:lineRule="exact"/>
        <w:ind w:firstLine="440"/>
        <w:jc w:val="left"/>
        <w:rPr>
          <w:b/>
          <w:color w:val="auto"/>
          <w:sz w:val="24"/>
          <w:szCs w:val="24"/>
        </w:rPr>
      </w:pPr>
      <w:r>
        <w:rPr>
          <w:rFonts w:hint="eastAsia" w:ascii="宋体" w:hAnsi="宋体" w:eastAsia="宋体"/>
          <w:b/>
          <w:color w:val="auto"/>
          <w:sz w:val="24"/>
          <w:szCs w:val="24"/>
        </w:rPr>
        <w:t>一、出让采矿权基本情况</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（一）公告时间：2023年</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日09时-2023年</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日18时</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（二）采矿权名称：合川区三汇镇老龙村九社水泥用灰岩矿段</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（三）地理位置：合川区三汇镇老龙村九社</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（四）出让收益起始价：</w:t>
      </w:r>
      <w:r>
        <w:rPr>
          <w:rFonts w:hint="eastAsia" w:ascii="宋体" w:hAnsi="宋体" w:eastAsia="宋体"/>
          <w:color w:val="auto"/>
          <w:sz w:val="24"/>
          <w:szCs w:val="24"/>
          <w:lang w:val="en-US" w:eastAsia="zh-CN"/>
        </w:rPr>
        <w:t>2975.85</w:t>
      </w:r>
      <w:r>
        <w:rPr>
          <w:rFonts w:hint="eastAsia" w:ascii="宋体" w:hAnsi="宋体" w:eastAsia="宋体"/>
          <w:color w:val="auto"/>
          <w:sz w:val="24"/>
          <w:szCs w:val="24"/>
        </w:rPr>
        <w:t>万元</w:t>
      </w:r>
      <w:r>
        <w:rPr>
          <w:rFonts w:hint="eastAsia" w:ascii="宋体" w:hAnsi="宋体" w:eastAsia="宋体"/>
          <w:color w:val="auto"/>
          <w:sz w:val="24"/>
          <w:szCs w:val="24"/>
          <w:lang w:eastAsia="zh-CN"/>
        </w:rPr>
        <w:t>；</w:t>
      </w:r>
    </w:p>
    <w:p>
      <w:pPr>
        <w:spacing w:line="600" w:lineRule="exact"/>
        <w:ind w:firstLine="460"/>
        <w:jc w:val="left"/>
        <w:rPr>
          <w:color w:val="auto"/>
          <w:sz w:val="24"/>
          <w:szCs w:val="24"/>
        </w:rPr>
      </w:pPr>
      <w:r>
        <w:rPr>
          <w:rFonts w:hint="eastAsia" w:ascii="宋体" w:hAnsi="宋体" w:eastAsia="宋体"/>
          <w:color w:val="auto"/>
          <w:sz w:val="24"/>
          <w:szCs w:val="24"/>
        </w:rPr>
        <w:t>（五）矿区面积：0.1843平方公里；</w:t>
      </w:r>
    </w:p>
    <w:p>
      <w:pPr>
        <w:spacing w:line="600" w:lineRule="exact"/>
        <w:ind w:firstLine="460"/>
        <w:jc w:val="left"/>
        <w:rPr>
          <w:color w:val="auto"/>
          <w:sz w:val="24"/>
          <w:szCs w:val="24"/>
        </w:rPr>
      </w:pPr>
      <w:r>
        <w:rPr>
          <w:rFonts w:hint="eastAsia" w:ascii="宋体" w:hAnsi="宋体" w:eastAsia="宋体"/>
          <w:color w:val="auto"/>
          <w:sz w:val="24"/>
          <w:szCs w:val="24"/>
        </w:rPr>
        <w:t>（六）开采标高：＋658米至＋511米；</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（七）开采矿种：水泥用灰岩</w:t>
      </w:r>
      <w:r>
        <w:rPr>
          <w:rFonts w:hint="eastAsia" w:ascii="宋体" w:hAnsi="宋体" w:eastAsia="宋体"/>
          <w:color w:val="auto"/>
          <w:sz w:val="24"/>
          <w:szCs w:val="24"/>
          <w:lang w:eastAsia="zh-CN"/>
        </w:rPr>
        <w:t>；</w:t>
      </w:r>
    </w:p>
    <w:p>
      <w:pPr>
        <w:spacing w:line="600" w:lineRule="exact"/>
        <w:ind w:firstLine="460"/>
        <w:jc w:val="left"/>
        <w:rPr>
          <w:color w:val="auto"/>
          <w:sz w:val="24"/>
          <w:szCs w:val="24"/>
        </w:rPr>
        <w:sectPr>
          <w:type w:val="continuous"/>
          <w:pgSz w:w="11720" w:h="16840"/>
          <w:pgMar w:top="1440" w:right="720" w:bottom="720" w:left="1160" w:header="0" w:footer="0" w:gutter="0"/>
          <w:cols w:space="720" w:num="1"/>
        </w:sectPr>
      </w:pPr>
      <w:r>
        <w:rPr>
          <w:rFonts w:hint="eastAsia" w:ascii="宋体" w:hAnsi="宋体" w:eastAsia="宋体"/>
          <w:color w:val="auto"/>
          <w:sz w:val="24"/>
          <w:szCs w:val="24"/>
        </w:rPr>
        <w:t>（八）资源储量：</w:t>
      </w:r>
      <w:r>
        <w:rPr>
          <w:rFonts w:hint="eastAsia" w:ascii="宋体" w:hAnsi="宋体" w:eastAsia="宋体"/>
          <w:color w:val="auto"/>
          <w:sz w:val="24"/>
          <w:szCs w:val="24"/>
          <w:lang w:val="en-US" w:eastAsia="zh-CN"/>
        </w:rPr>
        <w:t>350.1万</w:t>
      </w:r>
      <w:r>
        <w:rPr>
          <w:rFonts w:hint="eastAsia" w:ascii="宋体" w:hAnsi="宋体" w:eastAsia="宋体"/>
          <w:color w:val="auto"/>
          <w:sz w:val="24"/>
          <w:szCs w:val="24"/>
        </w:rPr>
        <w:t>吨；</w:t>
      </w:r>
    </w:p>
    <w:p>
      <w:pPr>
        <w:spacing w:line="600" w:lineRule="exact"/>
        <w:ind w:firstLine="460"/>
        <w:jc w:val="left"/>
        <w:rPr>
          <w:color w:val="auto"/>
          <w:sz w:val="24"/>
          <w:szCs w:val="24"/>
        </w:rPr>
      </w:pPr>
      <w:r>
        <w:rPr>
          <w:rFonts w:hint="eastAsia" w:ascii="宋体" w:hAnsi="宋体" w:eastAsia="宋体"/>
          <w:color w:val="auto"/>
          <w:sz w:val="24"/>
          <w:szCs w:val="24"/>
        </w:rPr>
        <w:t>（九）生产规模：280万吨／年；</w:t>
      </w:r>
    </w:p>
    <w:p>
      <w:pPr>
        <w:spacing w:line="600" w:lineRule="exact"/>
        <w:ind w:firstLine="460"/>
        <w:jc w:val="left"/>
        <w:rPr>
          <w:color w:val="auto"/>
          <w:sz w:val="24"/>
          <w:szCs w:val="24"/>
        </w:rPr>
        <w:sectPr>
          <w:type w:val="continuous"/>
          <w:pgSz w:w="11720" w:h="16840"/>
          <w:pgMar w:top="1440" w:right="720" w:bottom="720" w:left="1160" w:header="0" w:footer="0" w:gutter="0"/>
          <w:cols w:space="720" w:num="1"/>
        </w:sectPr>
      </w:pPr>
      <w:r>
        <w:rPr>
          <w:rFonts w:hint="eastAsia" w:ascii="宋体" w:hAnsi="宋体" w:eastAsia="宋体"/>
          <w:color w:val="auto"/>
          <w:sz w:val="24"/>
          <w:szCs w:val="24"/>
        </w:rPr>
        <w:t>（十）采矿权出让年限：1.1年；</w:t>
      </w:r>
    </w:p>
    <w:p>
      <w:pPr>
        <w:spacing w:line="520" w:lineRule="exact"/>
        <w:ind w:firstLine="460"/>
        <w:jc w:val="left"/>
        <w:rPr>
          <w:color w:val="auto"/>
          <w:sz w:val="24"/>
          <w:szCs w:val="24"/>
        </w:rPr>
      </w:pPr>
      <w:r>
        <w:rPr>
          <w:rFonts w:hint="eastAsia" w:ascii="宋体" w:hAnsi="宋体" w:eastAsia="宋体"/>
          <w:color w:val="auto"/>
          <w:sz w:val="24"/>
          <w:szCs w:val="24"/>
        </w:rPr>
        <w:t>（十一）矿区范围坐标（2000坐标系）：</w:t>
      </w:r>
    </w:p>
    <w:tbl>
      <w:tblPr>
        <w:tblStyle w:val="5"/>
        <w:tblW w:w="7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86"/>
        <w:gridCol w:w="2767"/>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trPr>
        <w:tc>
          <w:tcPr>
            <w:tcW w:w="2486" w:type="dxa"/>
            <w:vAlign w:val="center"/>
          </w:tcPr>
          <w:p>
            <w:pPr>
              <w:spacing w:line="560" w:lineRule="exact"/>
              <w:jc w:val="center"/>
              <w:rPr>
                <w:color w:val="auto"/>
                <w:sz w:val="24"/>
                <w:szCs w:val="24"/>
              </w:rPr>
            </w:pPr>
            <w:r>
              <w:rPr>
                <w:rFonts w:hint="eastAsia" w:ascii="宋体" w:hAnsi="宋体" w:eastAsia="宋体"/>
                <w:color w:val="auto"/>
                <w:sz w:val="24"/>
                <w:szCs w:val="24"/>
              </w:rPr>
              <w:t>拐点</w:t>
            </w:r>
          </w:p>
        </w:tc>
        <w:tc>
          <w:tcPr>
            <w:tcW w:w="2767" w:type="dxa"/>
            <w:vAlign w:val="center"/>
          </w:tcPr>
          <w:p>
            <w:pPr>
              <w:spacing w:line="560" w:lineRule="exact"/>
              <w:jc w:val="center"/>
              <w:rPr>
                <w:color w:val="auto"/>
                <w:sz w:val="24"/>
                <w:szCs w:val="24"/>
              </w:rPr>
            </w:pPr>
            <w:r>
              <w:rPr>
                <w:rFonts w:hint="eastAsia" w:ascii="宋体" w:hAnsi="宋体" w:eastAsia="宋体"/>
                <w:color w:val="auto"/>
                <w:sz w:val="24"/>
                <w:szCs w:val="24"/>
              </w:rPr>
              <w:t>X坐标</w:t>
            </w:r>
          </w:p>
        </w:tc>
        <w:tc>
          <w:tcPr>
            <w:tcW w:w="2647" w:type="dxa"/>
            <w:vAlign w:val="center"/>
          </w:tcPr>
          <w:p>
            <w:pPr>
              <w:spacing w:line="560" w:lineRule="exact"/>
              <w:jc w:val="center"/>
              <w:rPr>
                <w:color w:val="auto"/>
                <w:sz w:val="24"/>
                <w:szCs w:val="24"/>
              </w:rPr>
            </w:pPr>
            <w:r>
              <w:rPr>
                <w:rFonts w:hint="eastAsia" w:ascii="宋体" w:hAnsi="宋体" w:eastAsia="宋体"/>
                <w:color w:val="auto"/>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3" w:hRule="atLeast"/>
        </w:trPr>
        <w:tc>
          <w:tcPr>
            <w:tcW w:w="2486" w:type="dxa"/>
          </w:tcPr>
          <w:p>
            <w:pPr>
              <w:spacing w:line="560" w:lineRule="exact"/>
              <w:jc w:val="center"/>
              <w:rPr>
                <w:color w:val="auto"/>
                <w:sz w:val="24"/>
                <w:szCs w:val="24"/>
              </w:rPr>
            </w:pPr>
            <w:r>
              <w:rPr>
                <w:color w:val="auto"/>
                <w:sz w:val="24"/>
                <w:szCs w:val="24"/>
              </w:rPr>
              <w:t>1</w:t>
            </w:r>
          </w:p>
        </w:tc>
        <w:tc>
          <w:tcPr>
            <w:tcW w:w="2767" w:type="dxa"/>
          </w:tcPr>
          <w:p>
            <w:pPr>
              <w:spacing w:line="560" w:lineRule="exact"/>
              <w:jc w:val="center"/>
              <w:rPr>
                <w:color w:val="auto"/>
                <w:sz w:val="24"/>
                <w:szCs w:val="24"/>
              </w:rPr>
            </w:pPr>
            <w:r>
              <w:rPr>
                <w:color w:val="auto"/>
                <w:sz w:val="24"/>
                <w:szCs w:val="24"/>
              </w:rPr>
              <w:t>3324048.40</w:t>
            </w:r>
          </w:p>
        </w:tc>
        <w:tc>
          <w:tcPr>
            <w:tcW w:w="2647" w:type="dxa"/>
          </w:tcPr>
          <w:p>
            <w:pPr>
              <w:spacing w:line="560" w:lineRule="exact"/>
              <w:jc w:val="center"/>
              <w:rPr>
                <w:color w:val="auto"/>
                <w:sz w:val="24"/>
                <w:szCs w:val="24"/>
              </w:rPr>
            </w:pPr>
            <w:r>
              <w:rPr>
                <w:color w:val="auto"/>
                <w:sz w:val="24"/>
                <w:szCs w:val="24"/>
              </w:rPr>
              <w:t>35651214.09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2</w:t>
            </w:r>
          </w:p>
        </w:tc>
        <w:tc>
          <w:tcPr>
            <w:tcW w:w="2767" w:type="dxa"/>
          </w:tcPr>
          <w:p>
            <w:pPr>
              <w:spacing w:line="560" w:lineRule="exact"/>
              <w:jc w:val="center"/>
              <w:rPr>
                <w:color w:val="auto"/>
                <w:sz w:val="24"/>
                <w:szCs w:val="24"/>
              </w:rPr>
            </w:pPr>
            <w:r>
              <w:rPr>
                <w:color w:val="auto"/>
                <w:sz w:val="24"/>
                <w:szCs w:val="24"/>
              </w:rPr>
              <w:t>3324021.11</w:t>
            </w:r>
          </w:p>
        </w:tc>
        <w:tc>
          <w:tcPr>
            <w:tcW w:w="2647" w:type="dxa"/>
          </w:tcPr>
          <w:p>
            <w:pPr>
              <w:spacing w:line="560" w:lineRule="exact"/>
              <w:jc w:val="center"/>
              <w:rPr>
                <w:color w:val="auto"/>
                <w:sz w:val="24"/>
                <w:szCs w:val="24"/>
              </w:rPr>
            </w:pPr>
            <w:r>
              <w:rPr>
                <w:color w:val="auto"/>
                <w:sz w:val="24"/>
                <w:szCs w:val="24"/>
              </w:rPr>
              <w:t>35651317.31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3</w:t>
            </w:r>
          </w:p>
        </w:tc>
        <w:tc>
          <w:tcPr>
            <w:tcW w:w="2767" w:type="dxa"/>
          </w:tcPr>
          <w:p>
            <w:pPr>
              <w:spacing w:line="560" w:lineRule="exact"/>
              <w:jc w:val="center"/>
              <w:rPr>
                <w:color w:val="auto"/>
                <w:sz w:val="24"/>
                <w:szCs w:val="24"/>
              </w:rPr>
            </w:pPr>
            <w:r>
              <w:rPr>
                <w:color w:val="auto"/>
                <w:sz w:val="24"/>
                <w:szCs w:val="24"/>
              </w:rPr>
              <w:t>3323924.50</w:t>
            </w:r>
          </w:p>
        </w:tc>
        <w:tc>
          <w:tcPr>
            <w:tcW w:w="2647" w:type="dxa"/>
          </w:tcPr>
          <w:p>
            <w:pPr>
              <w:spacing w:line="560" w:lineRule="exact"/>
              <w:jc w:val="center"/>
              <w:rPr>
                <w:color w:val="auto"/>
                <w:sz w:val="24"/>
                <w:szCs w:val="24"/>
              </w:rPr>
            </w:pPr>
            <w:r>
              <w:rPr>
                <w:color w:val="auto"/>
                <w:sz w:val="24"/>
                <w:szCs w:val="24"/>
              </w:rPr>
              <w:t>35651464.23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4</w:t>
            </w:r>
          </w:p>
        </w:tc>
        <w:tc>
          <w:tcPr>
            <w:tcW w:w="2767" w:type="dxa"/>
          </w:tcPr>
          <w:p>
            <w:pPr>
              <w:spacing w:line="560" w:lineRule="exact"/>
              <w:jc w:val="center"/>
              <w:rPr>
                <w:color w:val="auto"/>
                <w:sz w:val="24"/>
                <w:szCs w:val="24"/>
              </w:rPr>
            </w:pPr>
            <w:r>
              <w:rPr>
                <w:color w:val="auto"/>
                <w:sz w:val="24"/>
                <w:szCs w:val="24"/>
              </w:rPr>
              <w:t>3323886.19</w:t>
            </w:r>
          </w:p>
        </w:tc>
        <w:tc>
          <w:tcPr>
            <w:tcW w:w="2647" w:type="dxa"/>
          </w:tcPr>
          <w:p>
            <w:pPr>
              <w:spacing w:line="560" w:lineRule="exact"/>
              <w:jc w:val="center"/>
              <w:rPr>
                <w:color w:val="auto"/>
                <w:sz w:val="24"/>
                <w:szCs w:val="24"/>
              </w:rPr>
            </w:pPr>
            <w:r>
              <w:rPr>
                <w:color w:val="auto"/>
                <w:sz w:val="24"/>
                <w:szCs w:val="24"/>
              </w:rPr>
              <w:t>35651505.21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5</w:t>
            </w:r>
          </w:p>
        </w:tc>
        <w:tc>
          <w:tcPr>
            <w:tcW w:w="2767" w:type="dxa"/>
          </w:tcPr>
          <w:p>
            <w:pPr>
              <w:spacing w:line="560" w:lineRule="exact"/>
              <w:jc w:val="center"/>
              <w:rPr>
                <w:color w:val="auto"/>
                <w:sz w:val="24"/>
                <w:szCs w:val="24"/>
              </w:rPr>
            </w:pPr>
            <w:r>
              <w:rPr>
                <w:color w:val="auto"/>
                <w:sz w:val="24"/>
                <w:szCs w:val="24"/>
              </w:rPr>
              <w:t>3323821.24</w:t>
            </w:r>
          </w:p>
        </w:tc>
        <w:tc>
          <w:tcPr>
            <w:tcW w:w="2647" w:type="dxa"/>
          </w:tcPr>
          <w:p>
            <w:pPr>
              <w:spacing w:line="560" w:lineRule="exact"/>
              <w:jc w:val="center"/>
              <w:rPr>
                <w:color w:val="auto"/>
                <w:sz w:val="24"/>
                <w:szCs w:val="24"/>
              </w:rPr>
            </w:pPr>
            <w:r>
              <w:rPr>
                <w:color w:val="auto"/>
                <w:sz w:val="24"/>
                <w:szCs w:val="24"/>
              </w:rPr>
              <w:t>35651569.28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6</w:t>
            </w:r>
          </w:p>
        </w:tc>
        <w:tc>
          <w:tcPr>
            <w:tcW w:w="2767" w:type="dxa"/>
          </w:tcPr>
          <w:p>
            <w:pPr>
              <w:spacing w:line="560" w:lineRule="exact"/>
              <w:jc w:val="center"/>
              <w:rPr>
                <w:color w:val="auto"/>
                <w:sz w:val="24"/>
                <w:szCs w:val="24"/>
              </w:rPr>
            </w:pPr>
            <w:r>
              <w:rPr>
                <w:color w:val="auto"/>
                <w:sz w:val="24"/>
                <w:szCs w:val="24"/>
              </w:rPr>
              <w:t>3323701.42</w:t>
            </w:r>
          </w:p>
        </w:tc>
        <w:tc>
          <w:tcPr>
            <w:tcW w:w="2647" w:type="dxa"/>
          </w:tcPr>
          <w:p>
            <w:pPr>
              <w:spacing w:line="560" w:lineRule="exact"/>
              <w:jc w:val="center"/>
              <w:rPr>
                <w:color w:val="auto"/>
                <w:sz w:val="24"/>
                <w:szCs w:val="24"/>
              </w:rPr>
            </w:pPr>
            <w:r>
              <w:rPr>
                <w:color w:val="auto"/>
                <w:sz w:val="24"/>
                <w:szCs w:val="24"/>
              </w:rPr>
              <w:t>35651484.81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7</w:t>
            </w:r>
          </w:p>
        </w:tc>
        <w:tc>
          <w:tcPr>
            <w:tcW w:w="2767" w:type="dxa"/>
          </w:tcPr>
          <w:p>
            <w:pPr>
              <w:spacing w:line="560" w:lineRule="exact"/>
              <w:jc w:val="center"/>
              <w:rPr>
                <w:color w:val="auto"/>
                <w:sz w:val="24"/>
                <w:szCs w:val="24"/>
              </w:rPr>
            </w:pPr>
            <w:r>
              <w:rPr>
                <w:color w:val="auto"/>
                <w:sz w:val="24"/>
                <w:szCs w:val="24"/>
              </w:rPr>
              <w:t>3323473.85</w:t>
            </w:r>
          </w:p>
        </w:tc>
        <w:tc>
          <w:tcPr>
            <w:tcW w:w="2647" w:type="dxa"/>
          </w:tcPr>
          <w:p>
            <w:pPr>
              <w:spacing w:line="560" w:lineRule="exact"/>
              <w:jc w:val="center"/>
              <w:rPr>
                <w:color w:val="auto"/>
                <w:sz w:val="24"/>
                <w:szCs w:val="24"/>
              </w:rPr>
            </w:pPr>
            <w:r>
              <w:rPr>
                <w:color w:val="auto"/>
                <w:sz w:val="24"/>
                <w:szCs w:val="24"/>
              </w:rPr>
              <w:t>35651397.68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8</w:t>
            </w:r>
          </w:p>
        </w:tc>
        <w:tc>
          <w:tcPr>
            <w:tcW w:w="2767" w:type="dxa"/>
          </w:tcPr>
          <w:p>
            <w:pPr>
              <w:spacing w:line="560" w:lineRule="exact"/>
              <w:jc w:val="center"/>
              <w:rPr>
                <w:color w:val="auto"/>
                <w:sz w:val="24"/>
                <w:szCs w:val="24"/>
              </w:rPr>
            </w:pPr>
            <w:r>
              <w:rPr>
                <w:color w:val="auto"/>
                <w:sz w:val="24"/>
                <w:szCs w:val="24"/>
              </w:rPr>
              <w:t>3323444.61</w:t>
            </w:r>
          </w:p>
        </w:tc>
        <w:tc>
          <w:tcPr>
            <w:tcW w:w="2647" w:type="dxa"/>
          </w:tcPr>
          <w:p>
            <w:pPr>
              <w:spacing w:line="560" w:lineRule="exact"/>
              <w:jc w:val="center"/>
              <w:rPr>
                <w:color w:val="auto"/>
                <w:sz w:val="24"/>
                <w:szCs w:val="24"/>
              </w:rPr>
            </w:pPr>
            <w:r>
              <w:rPr>
                <w:color w:val="auto"/>
                <w:sz w:val="24"/>
                <w:szCs w:val="24"/>
              </w:rPr>
              <w:t>35651261.57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9</w:t>
            </w:r>
          </w:p>
        </w:tc>
        <w:tc>
          <w:tcPr>
            <w:tcW w:w="2767" w:type="dxa"/>
          </w:tcPr>
          <w:p>
            <w:pPr>
              <w:spacing w:line="560" w:lineRule="exact"/>
              <w:jc w:val="center"/>
              <w:rPr>
                <w:color w:val="auto"/>
                <w:sz w:val="24"/>
                <w:szCs w:val="24"/>
              </w:rPr>
            </w:pPr>
            <w:r>
              <w:rPr>
                <w:color w:val="auto"/>
                <w:sz w:val="24"/>
                <w:szCs w:val="24"/>
              </w:rPr>
              <w:t>3323684.73</w:t>
            </w:r>
          </w:p>
        </w:tc>
        <w:tc>
          <w:tcPr>
            <w:tcW w:w="2647" w:type="dxa"/>
          </w:tcPr>
          <w:p>
            <w:pPr>
              <w:spacing w:line="560" w:lineRule="exact"/>
              <w:jc w:val="center"/>
              <w:rPr>
                <w:color w:val="auto"/>
                <w:sz w:val="24"/>
                <w:szCs w:val="24"/>
              </w:rPr>
            </w:pPr>
            <w:r>
              <w:rPr>
                <w:color w:val="auto"/>
                <w:sz w:val="24"/>
                <w:szCs w:val="24"/>
              </w:rPr>
              <w:t>35651056.13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spacing w:line="560" w:lineRule="exact"/>
              <w:jc w:val="center"/>
              <w:rPr>
                <w:color w:val="auto"/>
                <w:sz w:val="24"/>
                <w:szCs w:val="24"/>
              </w:rPr>
            </w:pPr>
            <w:r>
              <w:rPr>
                <w:color w:val="auto"/>
                <w:sz w:val="24"/>
                <w:szCs w:val="24"/>
              </w:rPr>
              <w:t>10</w:t>
            </w:r>
          </w:p>
        </w:tc>
        <w:tc>
          <w:tcPr>
            <w:tcW w:w="2767" w:type="dxa"/>
          </w:tcPr>
          <w:p>
            <w:pPr>
              <w:spacing w:line="560" w:lineRule="exact"/>
              <w:jc w:val="center"/>
              <w:rPr>
                <w:color w:val="auto"/>
                <w:sz w:val="24"/>
                <w:szCs w:val="24"/>
              </w:rPr>
            </w:pPr>
            <w:r>
              <w:rPr>
                <w:color w:val="auto"/>
                <w:sz w:val="24"/>
                <w:szCs w:val="24"/>
              </w:rPr>
              <w:t>3323927.56</w:t>
            </w:r>
          </w:p>
        </w:tc>
        <w:tc>
          <w:tcPr>
            <w:tcW w:w="2647" w:type="dxa"/>
          </w:tcPr>
          <w:p>
            <w:pPr>
              <w:spacing w:line="560" w:lineRule="exact"/>
              <w:jc w:val="center"/>
              <w:rPr>
                <w:color w:val="auto"/>
                <w:sz w:val="24"/>
                <w:szCs w:val="24"/>
              </w:rPr>
            </w:pPr>
            <w:r>
              <w:rPr>
                <w:color w:val="auto"/>
                <w:sz w:val="24"/>
                <w:szCs w:val="24"/>
              </w:rPr>
              <w:t>35651161.60</w:t>
            </w:r>
          </w:p>
        </w:tc>
      </w:tr>
    </w:tbl>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二、出让人、有关机构联系方式</w:t>
      </w:r>
    </w:p>
    <w:p>
      <w:pPr>
        <w:spacing w:line="560" w:lineRule="exact"/>
        <w:ind w:firstLine="400"/>
        <w:jc w:val="left"/>
        <w:rPr>
          <w:color w:val="auto"/>
          <w:sz w:val="24"/>
          <w:szCs w:val="24"/>
        </w:rPr>
      </w:pPr>
      <w:r>
        <w:rPr>
          <w:rFonts w:hint="eastAsia" w:ascii="宋体" w:hAnsi="宋体" w:eastAsia="宋体"/>
          <w:color w:val="auto"/>
          <w:sz w:val="24"/>
          <w:szCs w:val="24"/>
        </w:rPr>
        <w:t>（一）出让人及承办机构</w:t>
      </w:r>
    </w:p>
    <w:p>
      <w:pPr>
        <w:spacing w:line="560" w:lineRule="exact"/>
        <w:ind w:firstLine="400"/>
        <w:rPr>
          <w:color w:val="auto"/>
          <w:sz w:val="24"/>
          <w:szCs w:val="24"/>
        </w:rPr>
      </w:pPr>
      <w:r>
        <w:rPr>
          <w:rFonts w:hint="eastAsia" w:ascii="宋体" w:hAnsi="宋体" w:eastAsia="宋体"/>
          <w:color w:val="auto"/>
          <w:sz w:val="24"/>
          <w:szCs w:val="24"/>
        </w:rPr>
        <w:t>本次采矿权出让人为重庆市合川区规划和自热资源局，采矿权出让交易机构为重庆市合川区公共资源交易中心。</w:t>
      </w:r>
    </w:p>
    <w:p>
      <w:pPr>
        <w:spacing w:line="560" w:lineRule="exact"/>
        <w:ind w:firstLine="400"/>
        <w:jc w:val="left"/>
        <w:rPr>
          <w:color w:val="auto"/>
          <w:sz w:val="24"/>
          <w:szCs w:val="24"/>
        </w:rPr>
      </w:pPr>
      <w:r>
        <w:rPr>
          <w:rFonts w:hint="eastAsia" w:ascii="宋体" w:hAnsi="宋体" w:eastAsia="宋体"/>
          <w:color w:val="auto"/>
          <w:sz w:val="24"/>
          <w:szCs w:val="24"/>
        </w:rPr>
        <w:t>（二）出让人及有关机构联系方式</w:t>
      </w:r>
    </w:p>
    <w:p>
      <w:pPr>
        <w:spacing w:line="560" w:lineRule="exact"/>
        <w:ind w:firstLine="400"/>
        <w:jc w:val="left"/>
        <w:rPr>
          <w:color w:val="auto"/>
          <w:sz w:val="24"/>
          <w:szCs w:val="24"/>
        </w:rPr>
      </w:pPr>
      <w:r>
        <w:rPr>
          <w:rFonts w:hint="eastAsia" w:ascii="宋体" w:hAnsi="宋体" w:eastAsia="宋体"/>
          <w:color w:val="auto"/>
          <w:sz w:val="24"/>
          <w:szCs w:val="24"/>
        </w:rPr>
        <w:t>1、重庆市合川区规划和自然资源局联系方式</w:t>
      </w:r>
    </w:p>
    <w:p>
      <w:pPr>
        <w:spacing w:line="560" w:lineRule="exact"/>
        <w:ind w:firstLine="400"/>
        <w:rPr>
          <w:rFonts w:eastAsia="宋体"/>
          <w:color w:val="auto"/>
          <w:sz w:val="24"/>
          <w:szCs w:val="24"/>
        </w:rPr>
      </w:pPr>
      <w:r>
        <w:rPr>
          <w:rFonts w:hint="eastAsia" w:ascii="宋体" w:hAnsi="宋体" w:eastAsia="宋体"/>
          <w:color w:val="auto"/>
          <w:sz w:val="24"/>
          <w:szCs w:val="24"/>
        </w:rPr>
        <w:t>地址：重庆市合川区希尔安大道490号，联系人：李老师、刘老师，联系电话：023-42751866、023-42751029。</w:t>
      </w:r>
    </w:p>
    <w:p>
      <w:pPr>
        <w:spacing w:line="560" w:lineRule="exact"/>
        <w:ind w:firstLine="400"/>
        <w:jc w:val="left"/>
        <w:rPr>
          <w:color w:val="auto"/>
          <w:sz w:val="24"/>
          <w:szCs w:val="24"/>
        </w:rPr>
      </w:pPr>
      <w:r>
        <w:rPr>
          <w:rFonts w:hint="eastAsia" w:ascii="宋体" w:hAnsi="宋体" w:eastAsia="宋体"/>
          <w:color w:val="auto"/>
          <w:sz w:val="24"/>
          <w:szCs w:val="24"/>
        </w:rPr>
        <w:t>2、重庆市合川区公共资源交易中心联系方式</w:t>
      </w:r>
    </w:p>
    <w:p>
      <w:pPr>
        <w:spacing w:line="560" w:lineRule="exact"/>
        <w:ind w:firstLine="400"/>
        <w:rPr>
          <w:color w:val="auto"/>
          <w:sz w:val="24"/>
          <w:szCs w:val="24"/>
        </w:rPr>
      </w:pPr>
      <w:r>
        <w:rPr>
          <w:rFonts w:hint="eastAsia" w:ascii="宋体" w:hAnsi="宋体" w:eastAsia="宋体"/>
          <w:color w:val="auto"/>
          <w:sz w:val="24"/>
          <w:szCs w:val="24"/>
        </w:rPr>
        <w:t>地址：重庆市合川区希尔安大道225号5楼，联系人：熊老师，联系电话：023-42757282。</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三、竞买申请人准入条件</w:t>
      </w:r>
    </w:p>
    <w:p>
      <w:pPr>
        <w:spacing w:line="560" w:lineRule="exact"/>
        <w:ind w:firstLine="400"/>
        <w:jc w:val="left"/>
        <w:rPr>
          <w:rFonts w:hint="eastAsia" w:ascii="宋体" w:hAnsi="宋体" w:eastAsia="宋体"/>
          <w:color w:val="auto"/>
          <w:sz w:val="24"/>
          <w:szCs w:val="24"/>
          <w:lang w:eastAsia="zh-CN"/>
        </w:rPr>
      </w:pPr>
      <w:r>
        <w:rPr>
          <w:rFonts w:hint="eastAsia" w:ascii="宋体" w:hAnsi="宋体" w:eastAsia="宋体"/>
          <w:color w:val="auto"/>
          <w:sz w:val="24"/>
          <w:szCs w:val="24"/>
        </w:rPr>
        <w:t>（一）竞买申请人须为营利法人</w:t>
      </w:r>
      <w:r>
        <w:rPr>
          <w:rFonts w:hint="eastAsia" w:ascii="宋体" w:hAnsi="宋体" w:eastAsia="宋体"/>
          <w:color w:val="auto"/>
          <w:sz w:val="24"/>
          <w:szCs w:val="24"/>
          <w:lang w:eastAsia="zh-CN"/>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（二）竞买申请人属于以下情形之一的不得参与竞买：</w:t>
      </w:r>
    </w:p>
    <w:p>
      <w:pPr>
        <w:spacing w:line="560" w:lineRule="exact"/>
        <w:ind w:firstLine="400"/>
        <w:jc w:val="left"/>
        <w:rPr>
          <w:rFonts w:hint="eastAsia" w:ascii="宋体" w:hAnsi="宋体" w:eastAsia="宋体"/>
          <w:color w:val="auto"/>
          <w:sz w:val="24"/>
          <w:szCs w:val="24"/>
          <w:lang w:eastAsia="zh-CN"/>
        </w:rPr>
      </w:pPr>
      <w:r>
        <w:rPr>
          <w:rFonts w:hint="eastAsia" w:ascii="宋体" w:hAnsi="宋体" w:eastAsia="宋体"/>
          <w:color w:val="auto"/>
          <w:sz w:val="24"/>
          <w:szCs w:val="24"/>
        </w:rPr>
        <w:t>1、被纳入自然资源部矿业权人勘查开采信息公示系统的“矿业权人严重违法名单”内的</w:t>
      </w:r>
      <w:r>
        <w:rPr>
          <w:rFonts w:hint="eastAsia" w:ascii="宋体" w:hAnsi="宋体" w:eastAsia="宋体"/>
          <w:color w:val="auto"/>
          <w:sz w:val="24"/>
          <w:szCs w:val="24"/>
          <w:lang w:eastAsia="zh-CN"/>
        </w:rPr>
        <w:t>；</w:t>
      </w:r>
    </w:p>
    <w:p>
      <w:pPr>
        <w:spacing w:line="560" w:lineRule="exact"/>
        <w:ind w:firstLine="400"/>
        <w:jc w:val="left"/>
        <w:rPr>
          <w:rFonts w:hint="eastAsia" w:ascii="宋体" w:hAnsi="宋体" w:eastAsia="宋体"/>
          <w:color w:val="auto"/>
          <w:sz w:val="24"/>
          <w:szCs w:val="24"/>
          <w:lang w:eastAsia="zh-CN"/>
        </w:rPr>
      </w:pPr>
      <w:r>
        <w:rPr>
          <w:rFonts w:hint="eastAsia" w:ascii="宋体" w:hAnsi="宋体" w:eastAsia="宋体"/>
          <w:color w:val="auto"/>
          <w:sz w:val="24"/>
          <w:szCs w:val="24"/>
        </w:rPr>
        <w:t>2．通过“信用中国”查询，在自然资源部联合惩戒备忘录或重庆市信用惩戒严重失信主体“黑名单”内的</w:t>
      </w:r>
      <w:r>
        <w:rPr>
          <w:rFonts w:hint="eastAsia" w:ascii="宋体" w:hAnsi="宋体" w:eastAsia="宋体"/>
          <w:color w:val="auto"/>
          <w:sz w:val="24"/>
          <w:szCs w:val="24"/>
          <w:lang w:eastAsia="zh-CN"/>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3．被吊销采矿许可证之日起2年内的。</w:t>
      </w:r>
    </w:p>
    <w:p>
      <w:pPr>
        <w:spacing w:line="560" w:lineRule="exact"/>
        <w:ind w:firstLine="400"/>
        <w:jc w:val="left"/>
        <w:rPr>
          <w:rFonts w:ascii="宋体" w:hAnsi="宋体" w:eastAsia="宋体"/>
          <w:b/>
          <w:color w:val="auto"/>
          <w:sz w:val="24"/>
          <w:szCs w:val="24"/>
        </w:rPr>
      </w:pPr>
      <w:r>
        <w:rPr>
          <w:rFonts w:hint="eastAsia" w:ascii="宋体" w:hAnsi="宋体" w:eastAsia="宋体"/>
          <w:b/>
          <w:color w:val="auto"/>
          <w:sz w:val="24"/>
          <w:szCs w:val="24"/>
        </w:rPr>
        <w:t>四、报名申请</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（一）时间、地点、联系人</w:t>
      </w:r>
    </w:p>
    <w:p>
      <w:pPr>
        <w:spacing w:line="560" w:lineRule="exact"/>
        <w:ind w:firstLine="403"/>
        <w:jc w:val="left"/>
        <w:rPr>
          <w:rFonts w:ascii="宋体" w:hAnsi="宋体" w:eastAsia="宋体"/>
          <w:color w:val="auto"/>
          <w:sz w:val="24"/>
        </w:rPr>
      </w:pPr>
      <w:r>
        <w:rPr>
          <w:rFonts w:hint="eastAsia" w:ascii="宋体" w:hAnsi="宋体" w:eastAsia="宋体"/>
          <w:color w:val="auto"/>
          <w:sz w:val="24"/>
          <w:szCs w:val="24"/>
        </w:rPr>
        <w:t>1、报名时间：</w:t>
      </w:r>
      <w:r>
        <w:rPr>
          <w:rFonts w:hint="eastAsia" w:ascii="宋体" w:hAnsi="宋体" w:eastAsia="宋体"/>
          <w:color w:val="auto"/>
          <w:sz w:val="24"/>
        </w:rPr>
        <w:t>2023年</w:t>
      </w:r>
      <w:r>
        <w:rPr>
          <w:rFonts w:hint="eastAsia" w:ascii="宋体" w:hAnsi="宋体" w:eastAsia="宋体"/>
          <w:color w:val="auto"/>
          <w:sz w:val="24"/>
          <w:lang w:val="en-US" w:eastAsia="zh-CN"/>
        </w:rPr>
        <w:t>5</w:t>
      </w:r>
      <w:r>
        <w:rPr>
          <w:rFonts w:hint="eastAsia" w:ascii="宋体" w:hAnsi="宋体" w:eastAsia="宋体"/>
          <w:color w:val="auto"/>
          <w:sz w:val="24"/>
        </w:rPr>
        <w:t>月</w:t>
      </w:r>
      <w:r>
        <w:rPr>
          <w:rFonts w:hint="eastAsia" w:ascii="宋体" w:hAnsi="宋体" w:eastAsia="宋体"/>
          <w:color w:val="auto"/>
          <w:sz w:val="24"/>
          <w:lang w:val="en-US" w:eastAsia="zh-CN"/>
        </w:rPr>
        <w:t>6</w:t>
      </w:r>
      <w:r>
        <w:rPr>
          <w:rFonts w:hint="eastAsia" w:ascii="宋体" w:hAnsi="宋体" w:eastAsia="宋体"/>
          <w:color w:val="auto"/>
          <w:sz w:val="24"/>
        </w:rPr>
        <w:t>日09时-2023年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6</w:t>
      </w:r>
      <w:r>
        <w:rPr>
          <w:rFonts w:hint="eastAsia" w:ascii="宋体" w:hAnsi="宋体" w:eastAsia="宋体"/>
          <w:color w:val="auto"/>
          <w:sz w:val="24"/>
        </w:rPr>
        <w:t>日18时。</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2、报名地点：重庆市合川区公共资源交易中心（重庆市合川区希尔安大道225号5楼）。</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3、联系人：熊老师，联系电话：023-42757282。</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（二）报名申请资料</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申请人应持下列相应文件提出竞买、竞投申请。重庆市合川区公共资源交易中心不接受传真件、邮件、电子邮件等竞买申请，提交复印件的应于报名时提交原件供核对：</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1、《竞买申请书》（原件1份）（附件一）；</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2、《竞买承诺书》（原件1份）（附件二）；</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3、单位工商营业执照副本（复印件1份）；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4、法定代表人的有效身份证明（复印件1份）；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5、申请人委托他人办理的，应提交委托代理人的授权委托书（附件三）及受托人的有效身份证明（复印件1份）；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6、竟买申请人签署知晓意见的《采矿权竞买须知》（原件1份）；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7、</w:t>
      </w:r>
      <w:r>
        <w:rPr>
          <w:rFonts w:hint="eastAsia" w:ascii="宋体" w:hAnsi="宋体" w:eastAsia="宋体"/>
          <w:color w:val="auto"/>
          <w:sz w:val="24"/>
        </w:rPr>
        <w:t>缴纳竞买保证金凭据</w:t>
      </w:r>
      <w:r>
        <w:rPr>
          <w:rFonts w:hint="eastAsia" w:ascii="宋体" w:hAnsi="宋体" w:eastAsia="宋体"/>
          <w:color w:val="auto"/>
          <w:sz w:val="24"/>
          <w:szCs w:val="24"/>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（三）保证金的缴纳及相关规定</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1、保证金的缴纳：该宗采矿权保证金为人民币</w:t>
      </w:r>
      <w:r>
        <w:rPr>
          <w:rFonts w:hint="eastAsia" w:ascii="宋体" w:hAnsi="宋体" w:eastAsia="宋体"/>
          <w:color w:val="auto"/>
          <w:sz w:val="24"/>
          <w:szCs w:val="24"/>
          <w:lang w:val="en-US" w:eastAsia="zh-CN"/>
        </w:rPr>
        <w:t>595.17</w:t>
      </w:r>
      <w:r>
        <w:rPr>
          <w:rFonts w:hint="eastAsia" w:ascii="宋体" w:hAnsi="宋体" w:eastAsia="宋体"/>
          <w:color w:val="auto"/>
          <w:sz w:val="24"/>
          <w:szCs w:val="24"/>
        </w:rPr>
        <w:t>万元（大写；</w:t>
      </w:r>
      <w:r>
        <w:rPr>
          <w:rFonts w:hint="eastAsia" w:ascii="宋体" w:hAnsi="宋体" w:eastAsia="宋体"/>
          <w:color w:val="auto"/>
          <w:sz w:val="24"/>
          <w:szCs w:val="24"/>
          <w:lang w:val="en-US" w:eastAsia="zh-CN"/>
        </w:rPr>
        <w:t>伍佰玖拾伍万壹</w:t>
      </w:r>
      <w:r>
        <w:rPr>
          <w:rFonts w:hint="eastAsia" w:ascii="宋体" w:hAnsi="宋体" w:eastAsia="宋体"/>
          <w:color w:val="auto"/>
          <w:sz w:val="24"/>
          <w:szCs w:val="24"/>
        </w:rPr>
        <w:t>仟</w:t>
      </w:r>
      <w:r>
        <w:rPr>
          <w:rFonts w:hint="eastAsia" w:ascii="宋体" w:hAnsi="宋体" w:eastAsia="宋体"/>
          <w:color w:val="auto"/>
          <w:sz w:val="24"/>
          <w:szCs w:val="24"/>
          <w:lang w:val="en-US" w:eastAsia="zh-CN"/>
        </w:rPr>
        <w:t>柒佰</w:t>
      </w:r>
      <w:r>
        <w:rPr>
          <w:rFonts w:hint="eastAsia" w:ascii="宋体" w:hAnsi="宋体" w:eastAsia="宋体"/>
          <w:color w:val="auto"/>
          <w:sz w:val="24"/>
          <w:szCs w:val="24"/>
        </w:rPr>
        <w:t>元整）、竞买申请人应于报名时间截止之前向重庆市合川区公共资源交易中心缴纳竞买保证金。竞买保证金到帐截止时间为：2023年</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日16时。缴款时间以银行确认的到账时间为准，保证金未按时到账的，不予受理报名。</w:t>
      </w:r>
    </w:p>
    <w:p>
      <w:p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保证金户名：重庆市合川区公共资源交易中心</w:t>
      </w:r>
    </w:p>
    <w:p>
      <w:p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开户行：建行重庆合川南新路支行</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账号：50001153700050205878</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2、如成功竞得，已缴纳的保证金可抵作采矿权出让收益，由竞得人委托重庆市合川区公共资源交易中心支付至财政非税收入专户；如未竞得，可在成交日之后1个工作日内办理退还手续，不计利息。</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五、采矿权出让方式、交易时间及地点</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挂牌交易时间：以公告时间为准。</w:t>
      </w:r>
    </w:p>
    <w:p>
      <w:pPr>
        <w:spacing w:line="560" w:lineRule="exact"/>
        <w:ind w:firstLine="403"/>
        <w:jc w:val="left"/>
        <w:rPr>
          <w:rFonts w:ascii="宋体" w:hAnsi="宋体" w:eastAsia="宋体"/>
          <w:color w:val="auto"/>
          <w:sz w:val="24"/>
        </w:rPr>
      </w:pPr>
      <w:r>
        <w:rPr>
          <w:rFonts w:hint="eastAsia" w:ascii="宋体" w:hAnsi="宋体" w:eastAsia="宋体"/>
          <w:color w:val="auto"/>
          <w:sz w:val="24"/>
          <w:szCs w:val="24"/>
        </w:rPr>
        <w:t>挂牌交易地点：</w:t>
      </w:r>
      <w:r>
        <w:rPr>
          <w:rFonts w:hint="eastAsia" w:ascii="宋体" w:hAnsi="宋体" w:eastAsia="宋体"/>
          <w:color w:val="auto"/>
          <w:sz w:val="24"/>
        </w:rPr>
        <w:t>重庆市合川区公共资源交易中心。</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rPr>
        <w:t>地址：重庆市合川区希尔安大道225号5楼。</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本次挂牌出让不设底价，竞买人不低于起始价的最高报价者为竞得人；如在挂牌期限内只有一个竞买人报价且不低于起始价的，挂牌成交。</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挂牌期限届满，宣布最高报价及其报价者，并现场询问竞买人是否愿意继续竞价。有愿意继续竞价的，通过限时竞价确定竞得人。报价以增价方式进行，每次加价幅度为20万元或其整数倍，加价不得高于加价幅度的5倍。</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挂牌程序及竞得方式按国家及重庆市有关规定执行。如在挂牌程序中，本采矿权因监管部门要求需终止交易行为的，在告知竞买申请人后，退还采矿权竞买申请人已交纳的竞买保证金，不计利息。</w:t>
      </w:r>
    </w:p>
    <w:p>
      <w:pPr>
        <w:spacing w:line="560" w:lineRule="exact"/>
        <w:ind w:firstLine="403"/>
        <w:jc w:val="left"/>
        <w:rPr>
          <w:rFonts w:ascii="宋体" w:hAnsi="宋体" w:eastAsia="宋体"/>
          <w:b/>
          <w:bCs/>
          <w:color w:val="auto"/>
          <w:sz w:val="24"/>
          <w:szCs w:val="24"/>
        </w:rPr>
      </w:pPr>
      <w:r>
        <w:rPr>
          <w:rFonts w:hint="eastAsia" w:ascii="宋体" w:hAnsi="宋体" w:eastAsia="宋体"/>
          <w:b/>
          <w:bCs/>
          <w:color w:val="auto"/>
          <w:sz w:val="24"/>
          <w:szCs w:val="24"/>
        </w:rPr>
        <w:t>六、成交确认</w:t>
      </w:r>
    </w:p>
    <w:p>
      <w:pPr>
        <w:spacing w:line="560" w:lineRule="exact"/>
        <w:ind w:firstLine="420"/>
        <w:rPr>
          <w:color w:val="auto"/>
          <w:sz w:val="24"/>
          <w:szCs w:val="24"/>
        </w:rPr>
      </w:pPr>
      <w:r>
        <w:rPr>
          <w:rFonts w:hint="eastAsia" w:ascii="宋体" w:hAnsi="宋体" w:eastAsia="宋体"/>
          <w:color w:val="auto"/>
          <w:sz w:val="24"/>
          <w:szCs w:val="24"/>
        </w:rPr>
        <w:t>挂牌成交后，竞得人与重庆市合川区公共资源交易中心现场签订《采矿权出让成交确认书》。</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七、采矿权出让收益缴纳</w:t>
      </w:r>
    </w:p>
    <w:p>
      <w:pPr>
        <w:spacing w:line="560" w:lineRule="exact"/>
        <w:ind w:firstLine="420"/>
        <w:rPr>
          <w:color w:val="auto"/>
          <w:sz w:val="24"/>
          <w:szCs w:val="24"/>
        </w:rPr>
      </w:pPr>
      <w:r>
        <w:rPr>
          <w:rFonts w:hint="eastAsia" w:ascii="宋体" w:hAnsi="宋体" w:eastAsia="宋体"/>
          <w:color w:val="auto"/>
          <w:sz w:val="24"/>
          <w:szCs w:val="24"/>
        </w:rPr>
        <w:t>该采矿权出让期限仅1.1年，因此采矿权出让收益一次性缴清。</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八、交易中止或终止</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有下列情形之一的，合川区公共资源交易中心将发布中止或者终止交易公告，并中止或者终止交易活动：</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（一）出让人提出中止或者终止交易的；</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（二）司法机关、监察机关依法要求中止或者终止交易活动的</w:t>
      </w:r>
      <w:r>
        <w:rPr>
          <w:rFonts w:hint="eastAsia" w:ascii="宋体" w:hAnsi="宋体" w:eastAsia="宋体"/>
          <w:color w:val="auto"/>
          <w:sz w:val="24"/>
          <w:szCs w:val="24"/>
          <w:lang w:eastAsia="zh-CN"/>
        </w:rPr>
        <w:t>；</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（三）因相关政策、采矿权规划条件等发生变化，对采矿权使用权有重大影响的</w:t>
      </w:r>
      <w:r>
        <w:rPr>
          <w:rFonts w:hint="eastAsia" w:ascii="宋体" w:hAnsi="宋体" w:eastAsia="宋体"/>
          <w:color w:val="auto"/>
          <w:sz w:val="24"/>
          <w:szCs w:val="24"/>
          <w:lang w:eastAsia="zh-CN"/>
        </w:rPr>
        <w:t>；</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（四）依法应当中止或者终止交易活动的其他情形。</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九、违约责任</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一）在竞买过程中有以下情形的，应承担违约责任，即无条件放弃参与竞买的采矿权已交纳的保证金，如该宗采矿权在以后的公开交易后价格低于本次成交价格，差额部份由违约责任人赔偿、其行为将被列入失信惩戒备忘录</w:t>
      </w:r>
      <w:r>
        <w:rPr>
          <w:rFonts w:hint="eastAsia" w:ascii="宋体" w:hAnsi="宋体" w:eastAsia="宋体"/>
          <w:color w:val="auto"/>
          <w:sz w:val="24"/>
          <w:szCs w:val="24"/>
          <w:lang w:val="en-US" w:eastAsia="zh-CN"/>
        </w:rPr>
        <w:t>:</w:t>
      </w:r>
    </w:p>
    <w:p>
      <w:pPr>
        <w:spacing w:line="560" w:lineRule="exact"/>
        <w:ind w:firstLine="460"/>
        <w:rPr>
          <w:rFonts w:hint="eastAsia" w:eastAsia="宋体"/>
          <w:color w:val="auto"/>
          <w:sz w:val="24"/>
          <w:szCs w:val="24"/>
          <w:lang w:eastAsia="zh-CN"/>
        </w:rPr>
      </w:pPr>
      <w:r>
        <w:rPr>
          <w:rFonts w:hint="eastAsia" w:ascii="宋体" w:hAnsi="宋体" w:eastAsia="宋体"/>
          <w:color w:val="auto"/>
          <w:sz w:val="24"/>
          <w:szCs w:val="24"/>
        </w:rPr>
        <w:t>1．竞得人拒签或未按本《采矿权竞买须知》要求在规定的时间内签订《采矿权出让成交确认书》的</w:t>
      </w:r>
      <w:r>
        <w:rPr>
          <w:rFonts w:hint="eastAsia" w:ascii="宋体" w:hAnsi="宋体" w:eastAsia="宋体"/>
          <w:color w:val="auto"/>
          <w:sz w:val="24"/>
          <w:szCs w:val="24"/>
          <w:lang w:eastAsia="zh-CN"/>
        </w:rPr>
        <w:t>；</w:t>
      </w:r>
    </w:p>
    <w:p>
      <w:pPr>
        <w:spacing w:line="560" w:lineRule="exact"/>
        <w:ind w:firstLine="460"/>
        <w:rPr>
          <w:color w:val="auto"/>
          <w:sz w:val="24"/>
          <w:szCs w:val="24"/>
        </w:rPr>
      </w:pPr>
      <w:r>
        <w:rPr>
          <w:rFonts w:hint="eastAsia" w:ascii="宋体" w:hAnsi="宋体" w:eastAsia="宋体"/>
          <w:color w:val="auto"/>
          <w:sz w:val="24"/>
          <w:szCs w:val="24"/>
        </w:rPr>
        <w:t>2、竞买申请人违反法律法规，采取弄虚作假或其他不正当手段扰乱正常交易秩序或骗取交易结果的</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3、提供虚假文件或隐瞒事实，骗取竞得资格的</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4、竞买申请人或竞得人有其他违背法律法规、《竞买须知》、《成交确认书》的规定的行为</w:t>
      </w:r>
      <w:r>
        <w:rPr>
          <w:rFonts w:hint="eastAsia" w:ascii="宋体" w:hAnsi="宋体" w:eastAsia="宋体"/>
          <w:color w:val="auto"/>
          <w:sz w:val="24"/>
          <w:szCs w:val="24"/>
          <w:lang w:eastAsia="zh-CN"/>
        </w:rPr>
        <w:t>；</w:t>
      </w:r>
    </w:p>
    <w:p>
      <w:pPr>
        <w:spacing w:line="560" w:lineRule="exact"/>
        <w:ind w:firstLine="460"/>
        <w:rPr>
          <w:color w:val="auto"/>
          <w:sz w:val="24"/>
          <w:szCs w:val="24"/>
        </w:rPr>
      </w:pPr>
      <w:r>
        <w:rPr>
          <w:rFonts w:hint="eastAsia" w:ascii="宋体" w:hAnsi="宋体" w:eastAsia="宋体"/>
          <w:color w:val="auto"/>
          <w:sz w:val="24"/>
          <w:szCs w:val="24"/>
        </w:rPr>
        <w:t>5、竞得人未按本《采矿权竞买须知》，《采矿权出让成交确认书》的要求支付采矿权出让收益、其他补偿费用。</w:t>
      </w:r>
    </w:p>
    <w:p>
      <w:pPr>
        <w:spacing w:line="560" w:lineRule="exact"/>
        <w:ind w:firstLine="460"/>
        <w:rPr>
          <w:color w:val="auto"/>
          <w:sz w:val="24"/>
          <w:szCs w:val="24"/>
        </w:rPr>
      </w:pPr>
      <w:r>
        <w:rPr>
          <w:rFonts w:hint="eastAsia" w:ascii="宋体" w:hAnsi="宋体" w:eastAsia="宋体"/>
          <w:color w:val="auto"/>
          <w:sz w:val="24"/>
          <w:szCs w:val="24"/>
        </w:rPr>
        <w:t>（二）竞得人须按照出让公告、须知要求在取得成交确认书后的15个工作日内，持成交确认书及相关资料与出让方签订《重庆市采矿权出让合同》（详见附件）。若逾期未签订采矿权出让合同的，则视为竞得人自动放弃竞得资格，出让方不予退还保证金并有权另行出让该宗采矿权。申请资料如下：</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1、采矿权出让合同签订申请书（原件1份）</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2、采矿权成交确认书（复印件1份）</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3、工商营业执照副本（复印件1份）</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4、法人身份证明（复印件1份）</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5、法人不能亲自办理的应提供《授权委托书》（原件1份）</w:t>
      </w:r>
      <w:r>
        <w:rPr>
          <w:rFonts w:hint="eastAsia" w:ascii="宋体" w:hAnsi="宋体" w:eastAsia="宋体"/>
          <w:color w:val="auto"/>
          <w:sz w:val="24"/>
          <w:szCs w:val="24"/>
          <w:lang w:eastAsia="zh-CN"/>
        </w:rPr>
        <w:t>；</w:t>
      </w:r>
    </w:p>
    <w:p>
      <w:pPr>
        <w:spacing w:line="56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6、受托人身份证明（复印件1份）</w:t>
      </w:r>
      <w:r>
        <w:rPr>
          <w:rFonts w:hint="eastAsia" w:ascii="宋体" w:hAnsi="宋体" w:eastAsia="宋体"/>
          <w:color w:val="auto"/>
          <w:sz w:val="24"/>
          <w:szCs w:val="24"/>
          <w:lang w:eastAsia="zh-CN"/>
        </w:rPr>
        <w:t>；</w:t>
      </w:r>
    </w:p>
    <w:p>
      <w:pPr>
        <w:spacing w:line="560" w:lineRule="exact"/>
        <w:ind w:firstLine="460"/>
        <w:jc w:val="left"/>
        <w:rPr>
          <w:color w:val="auto"/>
          <w:sz w:val="24"/>
          <w:szCs w:val="24"/>
        </w:rPr>
      </w:pPr>
      <w:r>
        <w:rPr>
          <w:rFonts w:hint="eastAsia" w:ascii="宋体" w:hAnsi="宋体" w:eastAsia="宋体"/>
          <w:color w:val="auto"/>
          <w:sz w:val="24"/>
          <w:szCs w:val="24"/>
        </w:rPr>
        <w:t>7、按照成交结果完善的《重庆市采矿权出让合同》签章件6份（原件）。</w:t>
      </w:r>
    </w:p>
    <w:p>
      <w:pPr>
        <w:spacing w:line="560" w:lineRule="exact"/>
        <w:ind w:firstLine="460"/>
        <w:rPr>
          <w:rFonts w:ascii="宋体" w:hAnsi="宋体" w:eastAsia="宋体"/>
          <w:color w:val="auto"/>
          <w:sz w:val="24"/>
          <w:szCs w:val="24"/>
        </w:rPr>
      </w:pPr>
      <w:r>
        <w:rPr>
          <w:rFonts w:hint="eastAsia" w:ascii="宋体" w:hAnsi="宋体" w:eastAsia="宋体"/>
          <w:color w:val="auto"/>
          <w:sz w:val="24"/>
          <w:szCs w:val="24"/>
        </w:rPr>
        <w:t>（三）竞买申请人或竞得人有充分理由证明其违约是因不可抗力造成的，可部分或全部免除其违约责任。</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十、注意事项</w:t>
      </w:r>
    </w:p>
    <w:p>
      <w:pPr>
        <w:spacing w:line="560" w:lineRule="exact"/>
        <w:ind w:firstLine="460"/>
        <w:rPr>
          <w:rFonts w:hint="eastAsia" w:ascii="宋体" w:hAnsi="宋体" w:eastAsia="宋体"/>
          <w:color w:val="auto"/>
          <w:sz w:val="24"/>
          <w:szCs w:val="24"/>
          <w:lang w:eastAsia="zh-CN"/>
        </w:rPr>
      </w:pPr>
      <w:r>
        <w:rPr>
          <w:rFonts w:hint="eastAsia" w:ascii="宋体" w:hAnsi="宋体" w:eastAsia="宋体"/>
          <w:color w:val="auto"/>
          <w:sz w:val="24"/>
          <w:szCs w:val="24"/>
        </w:rPr>
        <w:t>（一）竞买申请人应全面仔细阅读《采矿权出让竞买须知》，了解采矿权详细情况和要求，对矿区范围及周边民房、土地、山林权、交通运输、社群关系等影响因素进行必要的现场踏勘</w:t>
      </w:r>
      <w:r>
        <w:rPr>
          <w:rFonts w:hint="eastAsia" w:ascii="宋体" w:hAnsi="宋体" w:eastAsia="宋体"/>
          <w:color w:val="auto"/>
          <w:sz w:val="24"/>
          <w:szCs w:val="24"/>
          <w:lang w:eastAsia="zh-CN"/>
        </w:rPr>
        <w:t>；</w:t>
      </w:r>
    </w:p>
    <w:p>
      <w:pPr>
        <w:spacing w:line="560" w:lineRule="exact"/>
        <w:ind w:firstLine="460"/>
        <w:rPr>
          <w:rFonts w:ascii="宋体" w:hAnsi="宋体" w:eastAsia="宋体"/>
          <w:color w:val="auto"/>
          <w:sz w:val="24"/>
          <w:szCs w:val="24"/>
        </w:rPr>
      </w:pPr>
      <w:r>
        <w:rPr>
          <w:rFonts w:hint="eastAsia" w:ascii="宋体" w:hAnsi="宋体" w:eastAsia="宋体"/>
          <w:color w:val="auto"/>
          <w:sz w:val="24"/>
          <w:szCs w:val="24"/>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560" w:lineRule="exact"/>
        <w:ind w:firstLine="460"/>
        <w:rPr>
          <w:rFonts w:ascii="宋体" w:hAnsi="宋体" w:eastAsia="宋体"/>
          <w:color w:val="auto"/>
          <w:sz w:val="24"/>
          <w:szCs w:val="24"/>
        </w:rPr>
      </w:pPr>
      <w:r>
        <w:rPr>
          <w:rFonts w:hint="eastAsia" w:ascii="宋体" w:hAnsi="宋体" w:eastAsia="宋体"/>
          <w:color w:val="auto"/>
          <w:sz w:val="24"/>
          <w:szCs w:val="24"/>
        </w:rPr>
        <w:t>（三）有关涉及该宗采矿权的用地</w:t>
      </w:r>
      <w:r>
        <w:rPr>
          <w:rFonts w:hint="eastAsia" w:ascii="宋体" w:hAnsi="宋体" w:eastAsia="宋体"/>
          <w:color w:val="auto"/>
          <w:sz w:val="24"/>
          <w:szCs w:val="24"/>
          <w:lang w:eastAsia="zh-CN"/>
        </w:rPr>
        <w:t>、</w:t>
      </w:r>
      <w:r>
        <w:rPr>
          <w:rFonts w:hint="eastAsia" w:ascii="宋体" w:hAnsi="宋体" w:eastAsia="宋体"/>
          <w:color w:val="auto"/>
          <w:sz w:val="24"/>
          <w:szCs w:val="24"/>
        </w:rPr>
        <w:t>用水、用电、公路、环保、基础设施等工作，由竞得人自行负责解决并依法完善相关手续；</w:t>
      </w:r>
    </w:p>
    <w:p>
      <w:pPr>
        <w:spacing w:line="560" w:lineRule="exact"/>
        <w:ind w:firstLine="460"/>
        <w:rPr>
          <w:rFonts w:ascii="宋体" w:hAnsi="宋体" w:eastAsia="宋体"/>
          <w:color w:val="auto"/>
          <w:sz w:val="24"/>
          <w:szCs w:val="24"/>
        </w:rPr>
      </w:pPr>
      <w:r>
        <w:rPr>
          <w:rFonts w:hint="eastAsia" w:ascii="宋体" w:hAnsi="宋体" w:eastAsia="宋体"/>
          <w:color w:val="auto"/>
          <w:sz w:val="24"/>
          <w:szCs w:val="24"/>
        </w:rPr>
        <w:t>（四）若竞得人竞得采矿权后，在办理采矿权登记所需要件时进行安全，环境评价等认定为不适宜开采的，按不成交处理；</w:t>
      </w:r>
    </w:p>
    <w:p>
      <w:pPr>
        <w:spacing w:line="560" w:lineRule="exact"/>
        <w:ind w:firstLine="460"/>
        <w:rPr>
          <w:color w:val="auto"/>
          <w:sz w:val="24"/>
          <w:szCs w:val="24"/>
        </w:rPr>
      </w:pPr>
      <w:r>
        <w:rPr>
          <w:rFonts w:hint="eastAsia" w:ascii="宋体" w:hAnsi="宋体" w:eastAsia="宋体"/>
          <w:color w:val="auto"/>
          <w:sz w:val="24"/>
          <w:szCs w:val="24"/>
        </w:rPr>
        <w:t>（五）参加竞买的人员，应遵守竞买的纪律，服从工作人员指挥。</w:t>
      </w:r>
    </w:p>
    <w:p>
      <w:pPr>
        <w:spacing w:line="560" w:lineRule="exact"/>
        <w:ind w:firstLine="420"/>
        <w:rPr>
          <w:rFonts w:ascii="宋体" w:hAnsi="宋体" w:eastAsia="宋体"/>
          <w:b/>
          <w:color w:val="auto"/>
          <w:sz w:val="24"/>
          <w:szCs w:val="24"/>
        </w:rPr>
      </w:pPr>
      <w:r>
        <w:rPr>
          <w:rFonts w:hint="eastAsia" w:ascii="宋体" w:hAnsi="宋体" w:eastAsia="宋体"/>
          <w:b/>
          <w:color w:val="auto"/>
          <w:sz w:val="24"/>
          <w:szCs w:val="24"/>
        </w:rPr>
        <w:t>十一、其他重要提示及要求</w:t>
      </w:r>
    </w:p>
    <w:p>
      <w:pPr>
        <w:spacing w:line="540" w:lineRule="exact"/>
        <w:ind w:left="40" w:firstLine="500"/>
        <w:rPr>
          <w:color w:val="auto"/>
          <w:sz w:val="24"/>
          <w:szCs w:val="24"/>
        </w:rPr>
      </w:pPr>
      <w:r>
        <w:rPr>
          <w:rFonts w:hint="eastAsia" w:ascii="宋体" w:hAnsi="宋体" w:eastAsia="宋体"/>
          <w:color w:val="auto"/>
          <w:sz w:val="24"/>
          <w:szCs w:val="24"/>
        </w:rPr>
        <w:t>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采矿权：1.本次公告序号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采矿权为合川区三汇镇老龙村九社水泥用灰岩矿资源，出让资源量为</w:t>
      </w:r>
      <w:r>
        <w:rPr>
          <w:rFonts w:hint="eastAsia" w:ascii="宋体" w:hAnsi="宋体" w:eastAsia="宋体"/>
          <w:color w:val="auto"/>
          <w:sz w:val="24"/>
          <w:szCs w:val="24"/>
          <w:lang w:val="en-US" w:eastAsia="zh-CN"/>
        </w:rPr>
        <w:t>350.1</w:t>
      </w:r>
      <w:r>
        <w:rPr>
          <w:rFonts w:hint="eastAsia" w:ascii="宋体" w:hAnsi="宋体" w:eastAsia="宋体"/>
          <w:color w:val="auto"/>
          <w:sz w:val="24"/>
          <w:szCs w:val="24"/>
        </w:rPr>
        <w:t>万吨（含边坡资源）。2．竞得人须自行或委托编制矿山地质环境恢复治理和土地复垦方案并通过审查，同时按照《矿山地质环境保护规定》等相关规定履行矿山地质环境保护相关义务。3．原矿业权人的资产，已由重庆市合川城市建设投资（集团）有限公司委托第三方进行了评估。采矿权人的机器设备、房屋建筑、构筑物及其他辅助设施、原材料（矿山资源）、土地租赁费用等资产评估价值为人民币15096.81万元，竞得人将原矿业权人资产按照评估金额人民币15096.81万元由竞得人</w:t>
      </w:r>
      <w:r>
        <w:rPr>
          <w:rFonts w:hint="eastAsia" w:ascii="宋体" w:hAnsi="宋体" w:eastAsia="宋体"/>
          <w:color w:val="auto"/>
          <w:sz w:val="24"/>
          <w:szCs w:val="24"/>
          <w:lang w:val="en-US" w:eastAsia="zh-CN"/>
        </w:rPr>
        <w:t>在签订《重庆市采矿权出让合同》前</w:t>
      </w:r>
      <w:r>
        <w:rPr>
          <w:rFonts w:hint="eastAsia" w:ascii="宋体" w:hAnsi="宋体" w:eastAsia="宋体"/>
          <w:color w:val="auto"/>
          <w:sz w:val="24"/>
          <w:szCs w:val="24"/>
        </w:rPr>
        <w:t>一次支付给重庆市合川交通设备制造产业发展有限公司，由重庆市合川交通设备制造产业发展有限公司按规定支付给原矿业权人，若由原采矿权人竞得，资产评估价值则不用支付；该宗采矿权前期技术报告等费用35.87万元．由竞得人于《重庆市采矿权出计合同》签订前支付至出让方指定账户（收款单位：重庆市合川城市建设投资（集团）有限公司，开户行：农行合川合阳支行，账号：31150401040009399），相关</w:t>
      </w:r>
      <w:bookmarkStart w:id="0" w:name="_GoBack"/>
      <w:bookmarkEnd w:id="0"/>
      <w:r>
        <w:rPr>
          <w:rFonts w:hint="eastAsia" w:ascii="宋体" w:hAnsi="宋体" w:eastAsia="宋体"/>
          <w:color w:val="auto"/>
          <w:sz w:val="24"/>
          <w:szCs w:val="24"/>
        </w:rPr>
        <w:t>税费由竞得人自行承担，逾期未缴纳相关费用的。视为竞得人自动放弃采矿权，不退还竞买保证金。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5．本次公告的</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采矿权，采取无底价出让</w:t>
      </w:r>
      <w:r>
        <w:rPr>
          <w:rFonts w:hint="eastAsia" w:ascii="宋体" w:hAnsi="宋体" w:eastAsia="宋体"/>
          <w:color w:val="auto"/>
          <w:sz w:val="24"/>
          <w:szCs w:val="24"/>
          <w:lang w:eastAsia="zh-CN"/>
        </w:rPr>
        <w:t>；</w:t>
      </w:r>
      <w:r>
        <w:rPr>
          <w:rFonts w:hint="eastAsia" w:ascii="宋体" w:hAnsi="宋体" w:eastAsia="宋体"/>
          <w:color w:val="auto"/>
          <w:sz w:val="24"/>
          <w:szCs w:val="24"/>
        </w:rPr>
        <w:t>竞得人的确定方式，按照《矿业权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交易规则》（自然资规）〔2023〕1号）相关规定执行。</w:t>
      </w:r>
    </w:p>
    <w:p>
      <w:pPr>
        <w:spacing w:line="540" w:lineRule="exact"/>
        <w:ind w:firstLine="440"/>
        <w:jc w:val="left"/>
        <w:rPr>
          <w:rFonts w:ascii="宋体" w:hAnsi="宋体" w:eastAsia="宋体"/>
          <w:b/>
          <w:color w:val="auto"/>
          <w:sz w:val="24"/>
          <w:szCs w:val="24"/>
        </w:rPr>
      </w:pPr>
      <w:r>
        <w:rPr>
          <w:rFonts w:hint="eastAsia" w:ascii="宋体" w:hAnsi="宋体" w:eastAsia="宋体"/>
          <w:b/>
          <w:color w:val="auto"/>
          <w:sz w:val="24"/>
          <w:szCs w:val="24"/>
        </w:rPr>
        <w:t>十二、提出异议的方式与途径</w:t>
      </w:r>
    </w:p>
    <w:p>
      <w:pPr>
        <w:spacing w:line="540" w:lineRule="exact"/>
        <w:ind w:left="40" w:firstLine="420"/>
        <w:rPr>
          <w:color w:val="auto"/>
          <w:sz w:val="24"/>
          <w:szCs w:val="24"/>
        </w:rPr>
      </w:pPr>
      <w:r>
        <w:rPr>
          <w:rFonts w:hint="eastAsia" w:ascii="宋体" w:hAnsi="宋体" w:eastAsia="宋体"/>
          <w:color w:val="auto"/>
          <w:sz w:val="24"/>
          <w:szCs w:val="24"/>
        </w:rPr>
        <w:t>对本次出让的采矿权存有异议的，应在公示期截止前以书面方式向重庆市合川区规划和自然资源局提出；对出让交易程序存有异议的，应在公示期截止前以书面方式向重庆市合川区公共资源交易中心提出。根据所提异议的具体情况，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交易规则》等相关规定进行妥善处置。</w:t>
      </w:r>
    </w:p>
    <w:p>
      <w:pPr>
        <w:spacing w:line="560" w:lineRule="exact"/>
        <w:ind w:left="40" w:leftChars="19" w:firstLine="7140" w:firstLineChars="2975"/>
        <w:rPr>
          <w:rFonts w:ascii="宋体" w:hAnsi="宋体" w:eastAsia="宋体"/>
          <w:color w:val="auto"/>
          <w:sz w:val="24"/>
          <w:szCs w:val="24"/>
        </w:rPr>
      </w:pPr>
      <w:r>
        <w:rPr>
          <w:rFonts w:hint="eastAsia" w:ascii="宋体" w:hAnsi="宋体" w:eastAsia="宋体"/>
          <w:color w:val="auto"/>
          <w:sz w:val="24"/>
          <w:szCs w:val="24"/>
        </w:rPr>
        <w:t>2023年</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日</w:t>
      </w:r>
    </w:p>
    <w:p>
      <w:pPr>
        <w:spacing w:after="680" w:line="560" w:lineRule="exact"/>
        <w:jc w:val="left"/>
        <w:rPr>
          <w:rFonts w:ascii="宋体" w:hAnsi="宋体" w:eastAsia="宋体"/>
          <w:color w:val="auto"/>
          <w:sz w:val="24"/>
          <w:szCs w:val="24"/>
        </w:rPr>
      </w:pPr>
      <w:r>
        <w:rPr>
          <w:rFonts w:hint="eastAsia" w:ascii="宋体" w:hAnsi="宋体" w:eastAsia="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2540</wp:posOffset>
                </wp:positionV>
                <wp:extent cx="5998210" cy="2758440"/>
                <wp:effectExtent l="0" t="0" r="21590" b="22860"/>
                <wp:wrapNone/>
                <wp:docPr id="2" name="文本框 2"/>
                <wp:cNvGraphicFramePr/>
                <a:graphic xmlns:a="http://schemas.openxmlformats.org/drawingml/2006/main">
                  <a:graphicData uri="http://schemas.microsoft.com/office/word/2010/wordprocessingShape">
                    <wps:wsp>
                      <wps:cNvSpPr txBox="1"/>
                      <wps:spPr>
                        <a:xfrm>
                          <a:off x="0" y="0"/>
                          <a:ext cx="5998210" cy="27584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 xml:space="preserve"> 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000000"/>
                                <w:sz w:val="24"/>
                                <w:szCs w:val="24"/>
                              </w:rPr>
                            </w:pPr>
                            <w:r>
                              <w:rPr>
                                <w:rFonts w:hint="eastAsia" w:ascii="宋体" w:hAnsi="宋体" w:eastAsia="宋体"/>
                                <w:color w:val="000000"/>
                                <w:sz w:val="24"/>
                                <w:szCs w:val="24"/>
                              </w:rPr>
                              <w:t xml:space="preserve">                                             2023年  月  日</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pt;margin-top:0.2pt;height:217.2pt;width:472.3pt;z-index:251659264;mso-width-relative:page;mso-height-relative:page;" fillcolor="#FFFFFF [3201]" filled="t" stroked="t" coordsize="21600,21600" o:gfxdata="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oB1VyNQAAAAHAQAADwAAAAAAAAABACAAAAAiAAAAZHJzL2Rvd25yZXYueG1sUEsBAhQAFAAAAAgA&#10;h07iQOAeo71iAgAAxgQAAA4AAAAAAAAAAQAgAAAAIwEAAGRycy9lMm9Eb2MueG1sUEsFBgAAAAAG&#10;AAYAWQEAAPcFAAAAAA==&#10;">
                <v:fill on="t" focussize="0,0"/>
                <v:stroke weight="0.5pt" color="#000000 [3204]" joinstyle="round"/>
                <v:imagedata o:title=""/>
                <o:lock v:ext="edit" aspectratio="f"/>
                <v:textbo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 xml:space="preserve"> 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000000"/>
                          <w:sz w:val="24"/>
                          <w:szCs w:val="24"/>
                        </w:rPr>
                      </w:pPr>
                      <w:r>
                        <w:rPr>
                          <w:rFonts w:hint="eastAsia" w:ascii="宋体" w:hAnsi="宋体" w:eastAsia="宋体"/>
                          <w:color w:val="000000"/>
                          <w:sz w:val="24"/>
                          <w:szCs w:val="24"/>
                        </w:rPr>
                        <w:t xml:space="preserve">                                             2023年  月  日</w:t>
                      </w:r>
                    </w:p>
                    <w:p/>
                  </w:txbxContent>
                </v:textbox>
              </v:shape>
            </w:pict>
          </mc:Fallback>
        </mc:AlternateContent>
      </w:r>
    </w:p>
    <w:p>
      <w:pPr>
        <w:spacing w:after="680" w:line="560" w:lineRule="exact"/>
        <w:jc w:val="left"/>
        <w:rPr>
          <w:rFonts w:ascii="宋体" w:hAnsi="宋体" w:eastAsia="宋体"/>
          <w:color w:val="auto"/>
          <w:sz w:val="24"/>
          <w:szCs w:val="24"/>
        </w:rPr>
      </w:pPr>
    </w:p>
    <w:p>
      <w:pPr>
        <w:spacing w:after="680" w:line="560" w:lineRule="exact"/>
        <w:jc w:val="left"/>
        <w:rPr>
          <w:rFonts w:ascii="宋体" w:hAnsi="宋体" w:eastAsia="宋体"/>
          <w:color w:val="auto"/>
          <w:sz w:val="24"/>
          <w:szCs w:val="24"/>
        </w:rPr>
      </w:pPr>
    </w:p>
    <w:p>
      <w:pPr>
        <w:rPr>
          <w:rFonts w:ascii="宋体" w:hAnsi="宋体" w:eastAsia="宋体"/>
          <w:color w:val="auto"/>
          <w:sz w:val="24"/>
          <w:szCs w:val="24"/>
        </w:rPr>
      </w:pPr>
    </w:p>
    <w:p>
      <w:pPr>
        <w:rPr>
          <w:rFonts w:ascii="宋体" w:hAnsi="宋体" w:eastAsia="宋体"/>
          <w:color w:val="auto"/>
          <w:sz w:val="24"/>
          <w:szCs w:val="24"/>
        </w:rPr>
      </w:pPr>
    </w:p>
    <w:p>
      <w:pPr>
        <w:rPr>
          <w:rFonts w:ascii="宋体" w:hAnsi="宋体" w:eastAsia="宋体"/>
          <w:color w:val="auto"/>
          <w:sz w:val="24"/>
          <w:szCs w:val="24"/>
        </w:rPr>
      </w:pPr>
    </w:p>
    <w:p>
      <w:pPr>
        <w:rPr>
          <w:rFonts w:ascii="宋体" w:hAnsi="宋体" w:eastAsia="宋体"/>
          <w:color w:val="auto"/>
          <w:sz w:val="24"/>
          <w:szCs w:val="24"/>
        </w:rPr>
      </w:pPr>
      <w:r>
        <w:rPr>
          <w:rFonts w:hint="eastAsia" w:ascii="宋体" w:hAnsi="宋体" w:eastAsia="宋体"/>
          <w:color w:val="auto"/>
          <w:sz w:val="24"/>
          <w:szCs w:val="24"/>
        </w:rPr>
        <w:t>附件一：《竞买申请书》（模板）</w:t>
      </w:r>
    </w:p>
    <w:p>
      <w:pPr>
        <w:rPr>
          <w:rFonts w:ascii="宋体" w:hAnsi="宋体" w:eastAsia="宋体"/>
          <w:color w:val="auto"/>
          <w:sz w:val="24"/>
          <w:szCs w:val="24"/>
        </w:rPr>
      </w:pPr>
      <w:r>
        <w:rPr>
          <w:rFonts w:hint="eastAsia" w:ascii="宋体" w:hAnsi="宋体" w:eastAsia="宋体"/>
          <w:color w:val="auto"/>
          <w:sz w:val="24"/>
          <w:szCs w:val="24"/>
        </w:rPr>
        <w:t>附件二：《合川区三汇镇老龙村九社水泥用灰岩矿段采矿权竞买承诺书》（模板）</w:t>
      </w:r>
    </w:p>
    <w:p>
      <w:pPr>
        <w:rPr>
          <w:rFonts w:ascii="宋体" w:hAnsi="宋体" w:eastAsia="宋体"/>
          <w:color w:val="auto"/>
          <w:sz w:val="24"/>
          <w:szCs w:val="24"/>
        </w:rPr>
      </w:pPr>
      <w:r>
        <w:rPr>
          <w:rFonts w:hint="eastAsia" w:ascii="宋体" w:hAnsi="宋体" w:eastAsia="宋体"/>
          <w:color w:val="auto"/>
          <w:sz w:val="24"/>
          <w:szCs w:val="24"/>
        </w:rPr>
        <w:t>附件三：《授权委托书》（模板）</w:t>
      </w:r>
    </w:p>
    <w:p>
      <w:pPr>
        <w:rPr>
          <w:rFonts w:ascii="宋体" w:hAnsi="宋体" w:eastAsia="宋体"/>
          <w:color w:val="auto"/>
          <w:sz w:val="24"/>
          <w:szCs w:val="24"/>
        </w:rPr>
      </w:pPr>
      <w:r>
        <w:rPr>
          <w:rFonts w:hint="eastAsia" w:ascii="宋体" w:hAnsi="宋体" w:eastAsia="宋体"/>
          <w:color w:val="auto"/>
          <w:sz w:val="24"/>
          <w:szCs w:val="24"/>
        </w:rPr>
        <w:t>附件四：（《重庆市采矿权出让合同》（模板）</w:t>
      </w:r>
    </w:p>
    <w:p>
      <w:pPr>
        <w:rPr>
          <w:rFonts w:ascii="宋体" w:hAnsi="宋体" w:eastAsia="宋体"/>
          <w:color w:val="auto"/>
          <w:sz w:val="24"/>
          <w:szCs w:val="24"/>
        </w:rPr>
      </w:pPr>
      <w:r>
        <w:rPr>
          <w:rFonts w:hint="eastAsia" w:ascii="宋体" w:hAnsi="宋体" w:eastAsia="宋体"/>
          <w:color w:val="auto"/>
          <w:sz w:val="24"/>
          <w:szCs w:val="24"/>
        </w:rPr>
        <w:t>附件五：《采矿权成交确认书》模板</w:t>
      </w:r>
    </w:p>
    <w:p>
      <w:pPr>
        <w:rPr>
          <w:rFonts w:ascii="宋体" w:hAnsi="宋体" w:eastAsia="宋体"/>
          <w:color w:val="auto"/>
          <w:sz w:val="24"/>
          <w:szCs w:val="24"/>
        </w:rPr>
      </w:pPr>
      <w:r>
        <w:rPr>
          <w:rFonts w:hint="eastAsia" w:ascii="宋体" w:hAnsi="宋体" w:eastAsia="宋体"/>
          <w:color w:val="auto"/>
          <w:sz w:val="24"/>
          <w:szCs w:val="24"/>
        </w:rPr>
        <w:t xml:space="preserve">附件六：《评估报告》（鲁新广信矿评报字［2022］第007号）结论 </w:t>
      </w:r>
    </w:p>
    <w:sectPr>
      <w:headerReference r:id="rId3" w:type="default"/>
      <w:footerReference r:id="rId4" w:type="default"/>
      <w:type w:val="continuous"/>
      <w:pgSz w:w="11520" w:h="16840"/>
      <w:pgMar w:top="720" w:right="720" w:bottom="1440" w:left="120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81D96"/>
    <w:rsid w:val="000C146F"/>
    <w:rsid w:val="000D6051"/>
    <w:rsid w:val="001957FA"/>
    <w:rsid w:val="001F607C"/>
    <w:rsid w:val="00266733"/>
    <w:rsid w:val="0029549B"/>
    <w:rsid w:val="00344F89"/>
    <w:rsid w:val="00397072"/>
    <w:rsid w:val="0042158B"/>
    <w:rsid w:val="0044628C"/>
    <w:rsid w:val="004555B1"/>
    <w:rsid w:val="004657EE"/>
    <w:rsid w:val="00521841"/>
    <w:rsid w:val="00550E1E"/>
    <w:rsid w:val="00586B07"/>
    <w:rsid w:val="00626D31"/>
    <w:rsid w:val="006B590B"/>
    <w:rsid w:val="006E1899"/>
    <w:rsid w:val="00721AF9"/>
    <w:rsid w:val="00753ECA"/>
    <w:rsid w:val="007D7B1B"/>
    <w:rsid w:val="007E362C"/>
    <w:rsid w:val="008C5036"/>
    <w:rsid w:val="0090120D"/>
    <w:rsid w:val="0099263F"/>
    <w:rsid w:val="009A2624"/>
    <w:rsid w:val="009C1823"/>
    <w:rsid w:val="009D0C52"/>
    <w:rsid w:val="009F0BE0"/>
    <w:rsid w:val="00A304C7"/>
    <w:rsid w:val="00B82161"/>
    <w:rsid w:val="00B941C9"/>
    <w:rsid w:val="00BA6D97"/>
    <w:rsid w:val="00BD0BC8"/>
    <w:rsid w:val="00C57CD7"/>
    <w:rsid w:val="00CE2003"/>
    <w:rsid w:val="00D07E29"/>
    <w:rsid w:val="00D71EFE"/>
    <w:rsid w:val="00DD6712"/>
    <w:rsid w:val="00E32BDE"/>
    <w:rsid w:val="00ED7790"/>
    <w:rsid w:val="00F07061"/>
    <w:rsid w:val="00F11DB2"/>
    <w:rsid w:val="00F22227"/>
    <w:rsid w:val="00F25DCB"/>
    <w:rsid w:val="00F85376"/>
    <w:rsid w:val="00F90541"/>
    <w:rsid w:val="00FA1CE6"/>
    <w:rsid w:val="00FC616A"/>
    <w:rsid w:val="05125BA6"/>
    <w:rsid w:val="169F36ED"/>
    <w:rsid w:val="1D333DEB"/>
    <w:rsid w:val="2E1052B2"/>
    <w:rsid w:val="30206102"/>
    <w:rsid w:val="46512946"/>
    <w:rsid w:val="5C670116"/>
    <w:rsid w:val="6880043C"/>
    <w:rsid w:val="6C5B3BCE"/>
    <w:rsid w:val="72C00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31C92-5B14-47AB-9657-22DA02A5978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701</Words>
  <Characters>3998</Characters>
  <Lines>33</Lines>
  <Paragraphs>9</Paragraphs>
  <TotalTime>12</TotalTime>
  <ScaleCrop>false</ScaleCrop>
  <LinksUpToDate>false</LinksUpToDate>
  <CharactersWithSpaces>4690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2023-01-30T01:31:00Z</dcterms:created>
  <dc:creator>INTSIG</dc:creator>
  <dc:description>Intsig Word Converter</dc:description>
  <cp:lastModifiedBy>Administrator</cp:lastModifiedBy>
  <cp:lastPrinted>2023-05-04T07:11:00Z</cp:lastPrinted>
  <dcterms:modified xsi:type="dcterms:W3CDTF">2023-05-05T06:51:42Z</dcterms:modified>
  <dc:title>wordbuilder</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38DA40AF9EDB4B8D8DC40EE37001874C</vt:lpwstr>
  </property>
</Properties>
</file>