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60C45">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14:paraId="30F6AE8D">
      <w:pPr>
        <w:spacing w:line="560" w:lineRule="exact"/>
        <w:jc w:val="center"/>
        <w:rPr>
          <w:rFonts w:ascii="Times New Roman" w:hAnsi="Times New Roman" w:eastAsia="宋体" w:cs="Times New Roman"/>
          <w:b/>
          <w:sz w:val="32"/>
          <w:szCs w:val="24"/>
        </w:rPr>
      </w:pPr>
    </w:p>
    <w:p w14:paraId="27F2F615">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渝采矿出字〔    〕第 号</w:t>
      </w:r>
    </w:p>
    <w:p w14:paraId="436FC1ED">
      <w:pPr>
        <w:spacing w:line="560" w:lineRule="exact"/>
        <w:rPr>
          <w:rFonts w:ascii="Times New Roman" w:hAnsi="Times New Roman" w:eastAsia="仿宋_GB2312" w:cs="Times New Roman"/>
          <w:sz w:val="32"/>
          <w:szCs w:val="24"/>
        </w:rPr>
      </w:pPr>
    </w:p>
    <w:p w14:paraId="11CDE1F3">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ascii="Times New Roman" w:hAnsi="Times New Roman" w:eastAsia="仿宋_GB2312" w:cs="Times New Roman"/>
          <w:sz w:val="32"/>
          <w:szCs w:val="32"/>
        </w:rPr>
        <w:t xml:space="preserve">     </w:t>
      </w:r>
    </w:p>
    <w:p w14:paraId="03FBEB85">
      <w:pPr>
        <w:spacing w:line="560" w:lineRule="exact"/>
        <w:ind w:firstLine="632"/>
        <w:rPr>
          <w:rFonts w:ascii="Times New Roman" w:hAnsi="Times New Roman" w:eastAsia="仿宋_GB2312" w:cs="Times New Roman"/>
          <w:bCs/>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bCs/>
          <w:sz w:val="32"/>
          <w:szCs w:val="32"/>
        </w:rPr>
        <w:t xml:space="preserve"> </w:t>
      </w:r>
    </w:p>
    <w:p w14:paraId="5888A8B5">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14:paraId="10722510">
      <w:pPr>
        <w:spacing w:line="560" w:lineRule="exact"/>
        <w:ind w:firstLine="632"/>
        <w:rPr>
          <w:rFonts w:ascii="Times New Roman" w:hAnsi="Times New Roman" w:eastAsia="仿宋_GB2312" w:cs="Times New Roman"/>
          <w:sz w:val="32"/>
          <w:szCs w:val="32"/>
        </w:rPr>
      </w:pPr>
    </w:p>
    <w:p w14:paraId="581AC044">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p>
    <w:p w14:paraId="2E0A148E">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p>
    <w:p w14:paraId="1CC73AD3">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p>
    <w:p w14:paraId="0CC439E9">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14:paraId="7AB6AB70">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根据《中华人民共和国矿产资源法》《重庆市矿产资源管理条例》等有关法律法规规定，双方本着平等、自愿、公平、诚实信用的原则，依法订立本合同。</w:t>
      </w:r>
    </w:p>
    <w:p w14:paraId="0608EF17">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14:paraId="69D0A66D">
      <w:pPr>
        <w:spacing w:line="540" w:lineRule="exact"/>
        <w:ind w:firstLine="608"/>
        <w:rPr>
          <w:rFonts w:ascii="Times New Roman" w:hAnsi="Times New Roman" w:eastAsia="仿宋_GB2312" w:cs="Times New Roman"/>
          <w:spacing w:val="-6"/>
          <w:sz w:val="32"/>
          <w:szCs w:val="32"/>
          <w:u w:val="single"/>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spacing w:val="-6"/>
          <w:sz w:val="32"/>
          <w:szCs w:val="32"/>
        </w:rPr>
        <w:t xml:space="preserve">  本采矿权属</w:t>
      </w:r>
      <w:r>
        <w:rPr>
          <w:rFonts w:ascii="Times New Roman" w:hAnsi="Times New Roman" w:eastAsia="仿宋_GB2312" w:cs="Times New Roman"/>
          <w:spacing w:val="-6"/>
          <w:sz w:val="32"/>
          <w:szCs w:val="32"/>
          <w:u w:val="single"/>
        </w:rPr>
        <w:t>（新立/延续/变更）。</w:t>
      </w:r>
    </w:p>
    <w:p w14:paraId="761A7D4E">
      <w:pPr>
        <w:spacing w:line="540" w:lineRule="exact"/>
        <w:ind w:firstLine="608"/>
        <w:rPr>
          <w:rFonts w:ascii="Times New Roman" w:hAnsi="Times New Roman" w:eastAsia="仿宋_GB2312" w:cs="Times New Roman"/>
          <w:spacing w:val="-6"/>
          <w:sz w:val="32"/>
          <w:szCs w:val="32"/>
          <w:u w:val="single"/>
        </w:rPr>
      </w:pPr>
      <w:r>
        <w:rPr>
          <w:rFonts w:ascii="Times New Roman" w:hAnsi="Times New Roman" w:eastAsia="仿宋_GB2312" w:cs="Times New Roman"/>
          <w:spacing w:val="-6"/>
          <w:sz w:val="32"/>
          <w:szCs w:val="32"/>
          <w:u w:val="single"/>
        </w:rPr>
        <w:t>（涉及招拍挂取得的）填写取得方式，交易机构，交易机构法定代表、交易地点。</w:t>
      </w:r>
    </w:p>
    <w:p w14:paraId="24ACDDA9">
      <w:pPr>
        <w:spacing w:line="540" w:lineRule="exact"/>
        <w:ind w:firstLine="608"/>
        <w:rPr>
          <w:rFonts w:ascii="Times New Roman" w:hAnsi="Times New Roman" w:eastAsia="仿宋_GB2312" w:cs="Times New Roman"/>
          <w:spacing w:val="-6"/>
          <w:sz w:val="32"/>
          <w:szCs w:val="32"/>
          <w:u w:val="single"/>
        </w:rPr>
      </w:pPr>
      <w:r>
        <w:rPr>
          <w:rFonts w:ascii="Times New Roman" w:hAnsi="Times New Roman" w:eastAsia="仿宋_GB2312" w:cs="Times New Roman"/>
          <w:spacing w:val="-6"/>
          <w:sz w:val="32"/>
          <w:szCs w:val="32"/>
          <w:u w:val="single"/>
        </w:rPr>
        <w:t>（涉及探转采的）填写探矿权名称、勘查矿种、勘查许可证号。</w:t>
      </w:r>
    </w:p>
    <w:p w14:paraId="4C9958AF">
      <w:pPr>
        <w:spacing w:line="540" w:lineRule="exact"/>
        <w:ind w:firstLine="608"/>
        <w:rPr>
          <w:rFonts w:ascii="Times New Roman" w:hAnsi="Times New Roman" w:eastAsia="仿宋_GB2312" w:cs="Times New Roman"/>
          <w:spacing w:val="-6"/>
          <w:sz w:val="32"/>
          <w:szCs w:val="32"/>
          <w:u w:val="single"/>
        </w:rPr>
      </w:pPr>
      <w:r>
        <w:rPr>
          <w:rFonts w:ascii="Times New Roman" w:hAnsi="Times New Roman" w:eastAsia="仿宋_GB2312" w:cs="Times New Roman"/>
          <w:spacing w:val="-6"/>
          <w:sz w:val="32"/>
          <w:szCs w:val="32"/>
          <w:u w:val="single"/>
        </w:rPr>
        <w:t>（涉及协议出让的）通过协议出让方式取得矿权。</w:t>
      </w:r>
    </w:p>
    <w:p w14:paraId="2144AB84">
      <w:pPr>
        <w:spacing w:line="54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14:paraId="7155BC5B">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，矿山名称</w:t>
      </w:r>
      <w:r>
        <w:rPr>
          <w:rFonts w:ascii="Times New Roman" w:hAnsi="Times New Roman" w:eastAsia="方正仿宋_GBK" w:cs="Times New Roman"/>
          <w:sz w:val="32"/>
          <w:szCs w:val="32"/>
          <w:u w:val="single"/>
        </w:rPr>
        <w:t xml:space="preserve">       </w:t>
      </w:r>
      <w:r>
        <w:rPr>
          <w:rFonts w:ascii="Times New Roman" w:hAnsi="Times New Roman" w:eastAsia="宋体" w:cs="Times New Roman"/>
          <w:kern w:val="0"/>
          <w:sz w:val="28"/>
          <w:szCs w:val="28"/>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矿种为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万吨。矿区范围拐点坐标表如下（2000坐标系）：</w:t>
      </w:r>
    </w:p>
    <w:tbl>
      <w:tblPr>
        <w:tblStyle w:val="5"/>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744"/>
        <w:gridCol w:w="1743"/>
      </w:tblGrid>
      <w:tr w14:paraId="38B5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14:paraId="705216C1">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拐点</w:t>
            </w:r>
          </w:p>
        </w:tc>
        <w:tc>
          <w:tcPr>
            <w:tcW w:w="1907" w:type="dxa"/>
            <w:tcBorders>
              <w:top w:val="single" w:color="auto" w:sz="4" w:space="0"/>
              <w:left w:val="single" w:color="auto" w:sz="4" w:space="0"/>
              <w:bottom w:val="single" w:color="auto" w:sz="4" w:space="0"/>
              <w:right w:val="single" w:color="auto" w:sz="4" w:space="0"/>
            </w:tcBorders>
            <w:vAlign w:val="center"/>
          </w:tcPr>
          <w:p w14:paraId="4B7D846A">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X坐标</w:t>
            </w:r>
          </w:p>
        </w:tc>
        <w:tc>
          <w:tcPr>
            <w:tcW w:w="1966" w:type="dxa"/>
            <w:tcBorders>
              <w:top w:val="single" w:color="auto" w:sz="4" w:space="0"/>
              <w:left w:val="single" w:color="auto" w:sz="4" w:space="0"/>
              <w:bottom w:val="single" w:color="auto" w:sz="4" w:space="0"/>
              <w:right w:val="single" w:color="auto" w:sz="4" w:space="0"/>
            </w:tcBorders>
            <w:vAlign w:val="center"/>
          </w:tcPr>
          <w:p w14:paraId="4B23287A">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Y坐标</w:t>
            </w:r>
          </w:p>
        </w:tc>
        <w:tc>
          <w:tcPr>
            <w:tcW w:w="776" w:type="dxa"/>
            <w:tcBorders>
              <w:top w:val="single" w:color="auto" w:sz="4" w:space="0"/>
              <w:left w:val="single" w:color="auto" w:sz="4" w:space="0"/>
              <w:bottom w:val="single" w:color="auto" w:sz="4" w:space="0"/>
              <w:right w:val="single" w:color="auto" w:sz="4" w:space="0"/>
            </w:tcBorders>
            <w:vAlign w:val="center"/>
          </w:tcPr>
          <w:p w14:paraId="6FF977A5">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拐点</w:t>
            </w:r>
          </w:p>
        </w:tc>
        <w:tc>
          <w:tcPr>
            <w:tcW w:w="1744" w:type="dxa"/>
            <w:tcBorders>
              <w:top w:val="single" w:color="auto" w:sz="4" w:space="0"/>
              <w:left w:val="single" w:color="auto" w:sz="4" w:space="0"/>
              <w:bottom w:val="single" w:color="auto" w:sz="4" w:space="0"/>
              <w:right w:val="single" w:color="auto" w:sz="4" w:space="0"/>
            </w:tcBorders>
            <w:vAlign w:val="center"/>
          </w:tcPr>
          <w:p w14:paraId="39E3AA9F">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X坐标</w:t>
            </w:r>
          </w:p>
        </w:tc>
        <w:tc>
          <w:tcPr>
            <w:tcW w:w="1743" w:type="dxa"/>
            <w:tcBorders>
              <w:top w:val="single" w:color="auto" w:sz="4" w:space="0"/>
              <w:left w:val="single" w:color="auto" w:sz="4" w:space="0"/>
              <w:bottom w:val="single" w:color="auto" w:sz="4" w:space="0"/>
              <w:right w:val="single" w:color="auto" w:sz="4" w:space="0"/>
            </w:tcBorders>
            <w:vAlign w:val="center"/>
          </w:tcPr>
          <w:p w14:paraId="21E2CAEE">
            <w:pPr>
              <w:spacing w:line="600" w:lineRule="exact"/>
              <w:jc w:val="center"/>
              <w:textAlignment w:val="center"/>
              <w:rPr>
                <w:rFonts w:ascii="Times New Roman" w:hAnsi="Times New Roman" w:cs="Times New Roman"/>
                <w:kern w:val="0"/>
                <w:sz w:val="28"/>
                <w:szCs w:val="28"/>
              </w:rPr>
            </w:pPr>
            <w:r>
              <w:rPr>
                <w:rFonts w:ascii="Times New Roman" w:hAnsi="Times New Roman" w:cs="Times New Roman"/>
                <w:kern w:val="0"/>
                <w:sz w:val="28"/>
                <w:szCs w:val="28"/>
              </w:rPr>
              <w:t>Y坐标</w:t>
            </w:r>
          </w:p>
        </w:tc>
      </w:tr>
      <w:tr w14:paraId="4783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14:paraId="6E110D71">
            <w:pPr>
              <w:spacing w:line="600" w:lineRule="exact"/>
              <w:jc w:val="center"/>
              <w:textAlignment w:val="center"/>
              <w:rPr>
                <w:rFonts w:ascii="Times New Roman" w:hAnsi="Times New Roman" w:cs="Times New Roman"/>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14:paraId="194C67CC">
            <w:pPr>
              <w:widowControl/>
              <w:spacing w:line="600" w:lineRule="exact"/>
              <w:jc w:val="center"/>
              <w:textAlignment w:val="center"/>
              <w:rPr>
                <w:rFonts w:ascii="Times New Roman" w:hAnsi="Times New Roman" w:cs="Times New Roman"/>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14:paraId="0380325B">
            <w:pPr>
              <w:widowControl/>
              <w:spacing w:line="600" w:lineRule="exact"/>
              <w:jc w:val="center"/>
              <w:textAlignment w:val="center"/>
              <w:rPr>
                <w:rFonts w:ascii="Times New Roman" w:hAnsi="Times New Roman" w:cs="Times New Roman"/>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14:paraId="20647D47">
            <w:pPr>
              <w:spacing w:line="600" w:lineRule="exact"/>
              <w:jc w:val="center"/>
              <w:textAlignment w:val="center"/>
              <w:rPr>
                <w:rFonts w:ascii="Times New Roman" w:hAnsi="Times New Roman" w:cs="Times New Roman"/>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14:paraId="28EE8210">
            <w:pPr>
              <w:widowControl/>
              <w:spacing w:line="600" w:lineRule="exact"/>
              <w:jc w:val="center"/>
              <w:textAlignment w:val="center"/>
              <w:rPr>
                <w:rFonts w:ascii="Times New Roman" w:hAnsi="Times New Roman" w:eastAsia="方正仿宋_GBK" w:cs="Times New Roman"/>
                <w:color w:val="000000"/>
                <w:kern w:val="0"/>
                <w:sz w:val="28"/>
                <w:szCs w:val="28"/>
                <w:lang w:bidi="ar"/>
              </w:rPr>
            </w:pPr>
          </w:p>
        </w:tc>
        <w:tc>
          <w:tcPr>
            <w:tcW w:w="1743" w:type="dxa"/>
            <w:tcBorders>
              <w:top w:val="single" w:color="auto" w:sz="4" w:space="0"/>
              <w:left w:val="single" w:color="auto" w:sz="4" w:space="0"/>
              <w:bottom w:val="single" w:color="auto" w:sz="4" w:space="0"/>
              <w:right w:val="single" w:color="auto" w:sz="4" w:space="0"/>
            </w:tcBorders>
            <w:vAlign w:val="center"/>
          </w:tcPr>
          <w:p w14:paraId="47FB01D9">
            <w:pPr>
              <w:widowControl/>
              <w:spacing w:line="600" w:lineRule="exact"/>
              <w:jc w:val="center"/>
              <w:textAlignment w:val="center"/>
              <w:rPr>
                <w:rFonts w:ascii="Times New Roman" w:hAnsi="Times New Roman" w:eastAsia="方正仿宋_GBK" w:cs="Times New Roman"/>
                <w:color w:val="000000"/>
                <w:kern w:val="0"/>
                <w:sz w:val="28"/>
                <w:szCs w:val="28"/>
                <w:lang w:bidi="ar"/>
              </w:rPr>
            </w:pPr>
          </w:p>
        </w:tc>
      </w:tr>
      <w:tr w14:paraId="657B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14:paraId="44C9D2F3">
            <w:pPr>
              <w:spacing w:line="600" w:lineRule="exact"/>
              <w:jc w:val="center"/>
              <w:textAlignment w:val="center"/>
              <w:rPr>
                <w:rFonts w:ascii="Times New Roman" w:hAnsi="Times New Roman" w:cs="Times New Roman"/>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14:paraId="0915452B">
            <w:pPr>
              <w:widowControl/>
              <w:spacing w:line="600" w:lineRule="exact"/>
              <w:jc w:val="center"/>
              <w:textAlignment w:val="center"/>
              <w:rPr>
                <w:rFonts w:ascii="Times New Roman" w:hAnsi="Times New Roman" w:cs="Times New Roman"/>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14:paraId="6055D612">
            <w:pPr>
              <w:widowControl/>
              <w:spacing w:line="600" w:lineRule="exact"/>
              <w:jc w:val="center"/>
              <w:textAlignment w:val="center"/>
              <w:rPr>
                <w:rFonts w:ascii="Times New Roman" w:hAnsi="Times New Roman" w:cs="Times New Roman"/>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14:paraId="3250F179">
            <w:pPr>
              <w:spacing w:line="600" w:lineRule="exact"/>
              <w:jc w:val="center"/>
              <w:textAlignment w:val="center"/>
              <w:rPr>
                <w:rFonts w:ascii="Times New Roman" w:hAnsi="Times New Roman" w:cs="Times New Roman"/>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14:paraId="3EF9DE3C">
            <w:pPr>
              <w:widowControl/>
              <w:spacing w:line="600" w:lineRule="exact"/>
              <w:jc w:val="center"/>
              <w:textAlignment w:val="center"/>
              <w:rPr>
                <w:rFonts w:ascii="Times New Roman" w:hAnsi="Times New Roman" w:cs="Times New Roman"/>
                <w:kern w:val="0"/>
                <w:sz w:val="28"/>
                <w:szCs w:val="28"/>
              </w:rPr>
            </w:pPr>
          </w:p>
        </w:tc>
        <w:tc>
          <w:tcPr>
            <w:tcW w:w="1743" w:type="dxa"/>
            <w:tcBorders>
              <w:top w:val="single" w:color="auto" w:sz="4" w:space="0"/>
              <w:left w:val="single" w:color="auto" w:sz="4" w:space="0"/>
              <w:bottom w:val="single" w:color="auto" w:sz="4" w:space="0"/>
              <w:right w:val="single" w:color="auto" w:sz="4" w:space="0"/>
            </w:tcBorders>
            <w:vAlign w:val="center"/>
          </w:tcPr>
          <w:p w14:paraId="06F8EFC9">
            <w:pPr>
              <w:widowControl/>
              <w:spacing w:line="600" w:lineRule="exact"/>
              <w:jc w:val="center"/>
              <w:textAlignment w:val="center"/>
              <w:rPr>
                <w:rFonts w:ascii="Times New Roman" w:hAnsi="Times New Roman" w:cs="Times New Roman"/>
                <w:kern w:val="0"/>
                <w:sz w:val="28"/>
                <w:szCs w:val="28"/>
              </w:rPr>
            </w:pPr>
          </w:p>
        </w:tc>
      </w:tr>
      <w:tr w14:paraId="2ACB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jc w:val="center"/>
        </w:trPr>
        <w:tc>
          <w:tcPr>
            <w:tcW w:w="846" w:type="dxa"/>
            <w:tcBorders>
              <w:top w:val="single" w:color="auto" w:sz="4" w:space="0"/>
              <w:left w:val="single" w:color="auto" w:sz="4" w:space="0"/>
              <w:bottom w:val="single" w:color="auto" w:sz="4" w:space="0"/>
              <w:right w:val="single" w:color="auto" w:sz="4" w:space="0"/>
            </w:tcBorders>
            <w:vAlign w:val="center"/>
          </w:tcPr>
          <w:p w14:paraId="0F959170">
            <w:pPr>
              <w:spacing w:line="600" w:lineRule="exact"/>
              <w:jc w:val="center"/>
              <w:textAlignment w:val="center"/>
              <w:rPr>
                <w:rFonts w:ascii="Times New Roman" w:hAnsi="Times New Roman" w:cs="Times New Roman"/>
                <w:kern w:val="0"/>
                <w:sz w:val="28"/>
                <w:szCs w:val="28"/>
              </w:rPr>
            </w:pPr>
          </w:p>
        </w:tc>
        <w:tc>
          <w:tcPr>
            <w:tcW w:w="1907" w:type="dxa"/>
            <w:tcBorders>
              <w:top w:val="single" w:color="auto" w:sz="4" w:space="0"/>
              <w:left w:val="single" w:color="auto" w:sz="4" w:space="0"/>
              <w:bottom w:val="single" w:color="auto" w:sz="4" w:space="0"/>
              <w:right w:val="single" w:color="auto" w:sz="4" w:space="0"/>
            </w:tcBorders>
            <w:vAlign w:val="center"/>
          </w:tcPr>
          <w:p w14:paraId="48F82418">
            <w:pPr>
              <w:spacing w:line="600" w:lineRule="exact"/>
              <w:jc w:val="center"/>
              <w:textAlignment w:val="center"/>
              <w:rPr>
                <w:rFonts w:ascii="Times New Roman" w:hAnsi="Times New Roman" w:cs="Times New Roman"/>
                <w:kern w:val="0"/>
                <w:sz w:val="28"/>
                <w:szCs w:val="28"/>
              </w:rPr>
            </w:pPr>
          </w:p>
        </w:tc>
        <w:tc>
          <w:tcPr>
            <w:tcW w:w="1966" w:type="dxa"/>
            <w:tcBorders>
              <w:top w:val="single" w:color="auto" w:sz="4" w:space="0"/>
              <w:left w:val="single" w:color="auto" w:sz="4" w:space="0"/>
              <w:bottom w:val="single" w:color="auto" w:sz="4" w:space="0"/>
              <w:right w:val="single" w:color="auto" w:sz="4" w:space="0"/>
            </w:tcBorders>
            <w:vAlign w:val="center"/>
          </w:tcPr>
          <w:p w14:paraId="72D1D1B7">
            <w:pPr>
              <w:spacing w:line="600" w:lineRule="exact"/>
              <w:jc w:val="center"/>
              <w:textAlignment w:val="center"/>
              <w:rPr>
                <w:rFonts w:ascii="Times New Roman" w:hAnsi="Times New Roman" w:cs="Times New Roman"/>
                <w:kern w:val="0"/>
                <w:sz w:val="28"/>
                <w:szCs w:val="28"/>
              </w:rPr>
            </w:pPr>
          </w:p>
        </w:tc>
        <w:tc>
          <w:tcPr>
            <w:tcW w:w="776" w:type="dxa"/>
            <w:tcBorders>
              <w:top w:val="single" w:color="auto" w:sz="4" w:space="0"/>
              <w:left w:val="single" w:color="auto" w:sz="4" w:space="0"/>
              <w:bottom w:val="single" w:color="auto" w:sz="4" w:space="0"/>
              <w:right w:val="single" w:color="auto" w:sz="4" w:space="0"/>
            </w:tcBorders>
            <w:vAlign w:val="center"/>
          </w:tcPr>
          <w:p w14:paraId="5AAAB719">
            <w:pPr>
              <w:spacing w:line="600" w:lineRule="exact"/>
              <w:jc w:val="center"/>
              <w:textAlignment w:val="center"/>
              <w:rPr>
                <w:rFonts w:ascii="Times New Roman" w:hAnsi="Times New Roman" w:cs="Times New Roman"/>
                <w:kern w:val="0"/>
                <w:sz w:val="28"/>
                <w:szCs w:val="28"/>
              </w:rPr>
            </w:pPr>
          </w:p>
        </w:tc>
        <w:tc>
          <w:tcPr>
            <w:tcW w:w="1744" w:type="dxa"/>
            <w:tcBorders>
              <w:top w:val="single" w:color="auto" w:sz="4" w:space="0"/>
              <w:left w:val="single" w:color="auto" w:sz="4" w:space="0"/>
              <w:bottom w:val="single" w:color="auto" w:sz="4" w:space="0"/>
              <w:right w:val="single" w:color="auto" w:sz="4" w:space="0"/>
            </w:tcBorders>
            <w:vAlign w:val="center"/>
          </w:tcPr>
          <w:p w14:paraId="275C8455">
            <w:pPr>
              <w:spacing w:line="600" w:lineRule="exact"/>
              <w:jc w:val="center"/>
              <w:textAlignment w:val="center"/>
              <w:rPr>
                <w:rFonts w:ascii="Times New Roman" w:hAnsi="Times New Roman" w:cs="Times New Roman"/>
                <w:kern w:val="0"/>
                <w:sz w:val="28"/>
                <w:szCs w:val="28"/>
              </w:rPr>
            </w:pPr>
          </w:p>
        </w:tc>
        <w:tc>
          <w:tcPr>
            <w:tcW w:w="1743" w:type="dxa"/>
            <w:tcBorders>
              <w:top w:val="single" w:color="auto" w:sz="4" w:space="0"/>
              <w:left w:val="single" w:color="auto" w:sz="4" w:space="0"/>
              <w:bottom w:val="single" w:color="auto" w:sz="4" w:space="0"/>
              <w:right w:val="single" w:color="auto" w:sz="4" w:space="0"/>
            </w:tcBorders>
            <w:vAlign w:val="center"/>
          </w:tcPr>
          <w:p w14:paraId="28E93B58">
            <w:pPr>
              <w:spacing w:line="600" w:lineRule="exact"/>
              <w:jc w:val="center"/>
              <w:textAlignment w:val="center"/>
              <w:rPr>
                <w:rFonts w:ascii="Times New Roman" w:hAnsi="Times New Roman" w:cs="Times New Roman"/>
                <w:kern w:val="0"/>
                <w:sz w:val="28"/>
                <w:szCs w:val="28"/>
              </w:rPr>
            </w:pPr>
          </w:p>
        </w:tc>
      </w:tr>
      <w:tr w14:paraId="0034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982" w:type="dxa"/>
            <w:gridSpan w:val="6"/>
            <w:tcBorders>
              <w:top w:val="single" w:color="auto" w:sz="4" w:space="0"/>
              <w:left w:val="single" w:color="auto" w:sz="4" w:space="0"/>
              <w:bottom w:val="single" w:color="auto" w:sz="4" w:space="0"/>
              <w:right w:val="single" w:color="auto" w:sz="4" w:space="0"/>
            </w:tcBorders>
            <w:vAlign w:val="center"/>
          </w:tcPr>
          <w:p w14:paraId="3015F8F3">
            <w:pPr>
              <w:spacing w:line="600" w:lineRule="exact"/>
              <w:jc w:val="center"/>
              <w:textAlignment w:val="center"/>
              <w:rPr>
                <w:rFonts w:ascii="Times New Roman" w:hAnsi="Times New Roman" w:cs="Times New Roman"/>
                <w:kern w:val="0"/>
                <w:szCs w:val="21"/>
              </w:rPr>
            </w:pPr>
            <w:r>
              <w:rPr>
                <w:rFonts w:ascii="Times New Roman" w:hAnsi="Times New Roman" w:cs="Times New Roman"/>
                <w:kern w:val="0"/>
                <w:sz w:val="28"/>
                <w:szCs w:val="28"/>
              </w:rPr>
              <w:t>标高：   米至   米</w:t>
            </w:r>
          </w:p>
        </w:tc>
      </w:tr>
    </w:tbl>
    <w:p w14:paraId="05FF34D1">
      <w:pPr>
        <w:spacing w:line="520" w:lineRule="exact"/>
        <w:ind w:left="210" w:leftChars="100" w:firstLine="309" w:firstLineChars="1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，自</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日起至</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日止。</w:t>
      </w:r>
    </w:p>
    <w:p w14:paraId="180A2F9B">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采矿权出让收益</w:t>
      </w:r>
    </w:p>
    <w:p w14:paraId="77D4C00B">
      <w:pPr>
        <w:spacing w:line="520" w:lineRule="exact"/>
        <w:ind w:firstLine="619" w:firstLineChars="200"/>
        <w:jc w:val="lef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通过出让金额的形式征收</w:t>
      </w:r>
    </w:p>
    <w:p w14:paraId="3440FE90">
      <w:pPr>
        <w:spacing w:line="520" w:lineRule="exact"/>
        <w:ind w:firstLine="616" w:firstLineChars="200"/>
        <w:jc w:val="left"/>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（一）采矿权出让收益为</w:t>
      </w:r>
      <w:r>
        <w:rPr>
          <w:rFonts w:ascii="Times New Roman" w:hAnsi="Times New Roman" w:eastAsia="仿宋_GB2312" w:cs="Times New Roman"/>
          <w:sz w:val="32"/>
          <w:szCs w:val="32"/>
        </w:rPr>
        <w:t>人民币</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u w:val="single"/>
        </w:rPr>
        <w:t>（</w:t>
      </w:r>
      <w:r>
        <w:rPr>
          <w:rFonts w:ascii="Times New Roman" w:hAnsi="Times New Roman" w:eastAsia="仿宋_GB2312" w:cs="Times New Roman"/>
          <w:sz w:val="32"/>
          <w:szCs w:val="32"/>
        </w:rPr>
        <w:t>大写）（￥：</w:t>
      </w:r>
      <w:r>
        <w:rPr>
          <w:rFonts w:ascii="Times New Roman" w:hAnsi="Times New Roman" w:eastAsia="仿宋_GB2312" w:cs="Times New Roman"/>
          <w:sz w:val="32"/>
          <w:szCs w:val="32"/>
          <w:u w:val="single"/>
        </w:rPr>
        <w:t xml:space="preserve">      元</w:t>
      </w:r>
      <w:r>
        <w:rPr>
          <w:rFonts w:ascii="Times New Roman" w:hAnsi="Times New Roman" w:eastAsia="仿宋_GB2312" w:cs="Times New Roman"/>
          <w:sz w:val="32"/>
          <w:szCs w:val="32"/>
        </w:rPr>
        <w:t>）。</w:t>
      </w:r>
    </w:p>
    <w:p w14:paraId="5C0DFFB7">
      <w:pPr>
        <w:spacing w:line="520" w:lineRule="exact"/>
        <w:ind w:firstLine="616"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（二）采矿权出让收益按下列第</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种方式缴纳，缴款时间以缴款通知书或合同约定为准。</w:t>
      </w:r>
    </w:p>
    <w:p w14:paraId="72190532">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1、一次性缴纳。</w:t>
      </w:r>
    </w:p>
    <w:p w14:paraId="335C0BFA">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2、分期缴纳。</w:t>
      </w:r>
      <w:r>
        <w:rPr>
          <w:rFonts w:ascii="Times New Roman" w:hAnsi="Times New Roman" w:eastAsia="仿宋_GB2312" w:cs="Times New Roman"/>
          <w:sz w:val="32"/>
          <w:szCs w:val="32"/>
        </w:rPr>
        <w:t>首次缴纳人民币</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u w:val="single"/>
        </w:rPr>
        <w:t>（</w:t>
      </w:r>
      <w:r>
        <w:rPr>
          <w:rFonts w:ascii="Times New Roman" w:hAnsi="Times New Roman" w:eastAsia="仿宋_GB2312" w:cs="Times New Roman"/>
          <w:sz w:val="32"/>
          <w:szCs w:val="32"/>
        </w:rPr>
        <w:t>大写）（￥：</w:t>
      </w:r>
      <w:r>
        <w:rPr>
          <w:rFonts w:ascii="Times New Roman" w:hAnsi="Times New Roman" w:eastAsia="仿宋_GB2312" w:cs="Times New Roman"/>
          <w:sz w:val="32"/>
          <w:szCs w:val="32"/>
          <w:u w:val="single"/>
        </w:rPr>
        <w:t xml:space="preserve">         元</w:t>
      </w:r>
      <w:r>
        <w:rPr>
          <w:rFonts w:ascii="Times New Roman" w:hAnsi="Times New Roman" w:eastAsia="仿宋_GB2312" w:cs="Times New Roman"/>
          <w:sz w:val="32"/>
          <w:szCs w:val="32"/>
        </w:rPr>
        <w:t>）；剩</w:t>
      </w:r>
      <w:bookmarkStart w:id="0" w:name="_GoBack"/>
      <w:bookmarkEnd w:id="0"/>
      <w:r>
        <w:rPr>
          <w:rFonts w:ascii="Times New Roman" w:hAnsi="Times New Roman" w:eastAsia="仿宋_GB2312" w:cs="Times New Roman"/>
          <w:sz w:val="32"/>
          <w:szCs w:val="32"/>
        </w:rPr>
        <w:t>余部分在采矿权有效期内分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年缴纳，每年</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月</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日前缴纳人民币</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u w:val="single"/>
        </w:rPr>
        <w:t>（</w:t>
      </w:r>
      <w:r>
        <w:rPr>
          <w:rFonts w:ascii="Times New Roman" w:hAnsi="Times New Roman" w:eastAsia="仿宋_GB2312" w:cs="Times New Roman"/>
          <w:sz w:val="32"/>
          <w:szCs w:val="32"/>
        </w:rPr>
        <w:t>大写）（￥：</w:t>
      </w:r>
      <w:r>
        <w:rPr>
          <w:rFonts w:ascii="Times New Roman" w:hAnsi="Times New Roman" w:eastAsia="仿宋_GB2312" w:cs="Times New Roman"/>
          <w:sz w:val="32"/>
          <w:szCs w:val="32"/>
          <w:u w:val="single"/>
        </w:rPr>
        <w:t xml:space="preserve">      元</w:t>
      </w:r>
      <w:r>
        <w:rPr>
          <w:rFonts w:ascii="Times New Roman" w:hAnsi="Times New Roman" w:eastAsia="仿宋_GB2312" w:cs="Times New Roman"/>
          <w:sz w:val="32"/>
          <w:szCs w:val="32"/>
        </w:rPr>
        <w:t>）。</w:t>
      </w:r>
    </w:p>
    <w:p w14:paraId="3C811432">
      <w:pPr>
        <w:spacing w:line="520" w:lineRule="exact"/>
        <w:ind w:firstLine="636" w:firstLineChars="19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一次性缴纳和分期缴纳出让收益仅为缴款方式的选择，与采矿权人是否动用或实际动用资源储量无关，合同生效后，缴纳全部出让收益为采矿权人的义务。</w:t>
      </w:r>
    </w:p>
    <w:p w14:paraId="27A1C711">
      <w:pPr>
        <w:spacing w:line="520" w:lineRule="exact"/>
        <w:ind w:firstLine="619" w:firstLineChars="200"/>
        <w:jc w:val="lef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通过出让收益率形式征收</w:t>
      </w:r>
    </w:p>
    <w:p w14:paraId="3AA53FB0">
      <w:pPr>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在采矿权有限期内，每年</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月</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日前按照矿产品年度销售收入的</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%缴纳年度采矿权出让收益。</w:t>
      </w:r>
    </w:p>
    <w:p w14:paraId="440072D2">
      <w:pPr>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在采矿权有效期内，每年</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月</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日前按照上一年规定的收益率缴纳矿业权出让收益。</w:t>
      </w:r>
    </w:p>
    <w:p w14:paraId="5DA9BF15">
      <w:pPr>
        <w:spacing w:line="520" w:lineRule="exact"/>
        <w:ind w:firstLine="619" w:firstLineChars="200"/>
        <w:jc w:val="lef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矿业权出让收益、使用费（占用费）、逾期产生的滞纳金均由税务部门负责征收。受让方应在收到缴款通知书30日内，按缴款通知书及时缴纳矿业权出让收益。分期缴纳的，剩余部分按合同约定的时间缴纳。</w:t>
      </w:r>
    </w:p>
    <w:p w14:paraId="4382AAD3">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自本合同签订之日起90日内持本合同、采矿权出让收益支付凭证、滞纳金缴纳凭证（涉及逾期缴纳采矿权出让收益的）及法律法规规定的要件资料，按规定向出让方申请办理采矿权登记；出让方应在受理采矿登记申请之日起30日内，依法办理采矿权登记，颁发采矿许可证。</w:t>
      </w:r>
    </w:p>
    <w:p w14:paraId="44376B2E">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14:paraId="1CC910C6">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应自本合同签订之日起90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14:paraId="649D8F47">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受让方应按照《绿色矿山建设实施方案》确定的建设内容和建设时序，开展绿色矿山建设，矿山投产时，应通过绿色矿山第三方评估，建成绿色矿山。</w:t>
      </w:r>
    </w:p>
    <w:p w14:paraId="5DEA6E15">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受让方方取得采矿许可证后，可按规定转让采矿权，并依法办理登记。</w:t>
      </w:r>
    </w:p>
    <w:p w14:paraId="0CD74457">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14:paraId="6A847E7E">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审查通过的矿产资源开发利用方案进行矿山建设和开采；依法缴纳采矿权使用费；遵守国家和重庆市的有关矿山环境保护与恢复治理、劳动安全、水土保持、土地复垦等法律、法规和规定；接受自然资源主管部门的监督检查。</w:t>
      </w:r>
    </w:p>
    <w:p w14:paraId="48353575">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14:paraId="75B643C7">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14:paraId="671DD2EC">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在采矿权出让年限内，国家或重庆市人民政府出台新的矿产资源管理规定，涉及本合同约定的采矿权的，本合同按新规定执行。</w:t>
      </w:r>
    </w:p>
    <w:p w14:paraId="4E2E3BF4">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14:paraId="48D5AD4E">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的，每日按欠缴采矿权出让收益的2‰计算滞纳金，由法定征收部门征收。</w:t>
      </w:r>
    </w:p>
    <w:p w14:paraId="17C29A5F">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超过6个月的，出让方有权解除合同、收回采矿权、撤销采矿许可证，不退还受让方已缴纳的采矿权出让收益，并依法通知相关部门追缴受让方欠缴的采矿权出让收益（含滞纳金）。双方另有约定除外。</w:t>
      </w:r>
    </w:p>
    <w:p w14:paraId="7AD41332">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受让方未按本合同约定时限申请采矿登记，出让方有权解除合同，并不退还受让方已缴纳的出让收益。</w:t>
      </w:r>
    </w:p>
    <w:p w14:paraId="4F0BF9E7">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出让方未按本合同约定按时颁发采矿许可证的，应自延期颁发采矿许可证之日起6个月内，按照受让方已支付的采矿权出让收益的2‰按日向受让方支付违约金。</w:t>
      </w:r>
    </w:p>
    <w:p w14:paraId="7C2A4808">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延期颁发采矿许可证超过6个月，受让方有权解除合同，出让方应返还受让方已缴纳的采矿权出让收益。</w:t>
      </w:r>
    </w:p>
    <w:p w14:paraId="79B56B31">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14:paraId="395264F0">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通知相关部门追缴受让方欠缴的采矿权出让收益（含滞纳金）。</w:t>
      </w:r>
    </w:p>
    <w:p w14:paraId="5A85AFD4">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含滞纳金）。</w:t>
      </w:r>
    </w:p>
    <w:p w14:paraId="708B9CC0">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14:paraId="5E1FF8A0">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14:paraId="1A9EBE8B">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第二十一条  </w:t>
      </w:r>
      <w:r>
        <w:rPr>
          <w:rFonts w:ascii="Times New Roman" w:hAnsi="Times New Roman" w:eastAsia="仿宋_GB2312" w:cs="Times New Roman"/>
          <w:spacing w:val="-6"/>
          <w:sz w:val="32"/>
          <w:szCs w:val="32"/>
        </w:rPr>
        <w:t>本采矿权资源开采完毕或出让到期后，受让方应在六个月内自行拆（移）除矿区内的设施设备及相关物资，无补偿。如未及时拆（移）除，视为受让方违约（因自然灾害、不可抗力等因素影响除外），出让方有权自行处置，处置收益规出让方所有。处置收益不足以覆盖处置费用的，出让方有权向受让方追偿。采矿权出让有效期未满，若因政策性关闭等社会公共利益需要提前关闭矿山的，按照相关政策执行。</w:t>
      </w:r>
    </w:p>
    <w:p w14:paraId="2D2367BB">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14:paraId="59C9EDDB">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本合同双方当事人同意，涉及本合同履行相关告知事项只要发送至本合同中所填写的通讯地址，即视为送达。上述地址的变更非经提前通知对方，对对方不生效。本条约定之地址亦适用于法律文书的送达。</w:t>
      </w:r>
    </w:p>
    <w:p w14:paraId="2F473052">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第二十四条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14:paraId="304C157C">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因履行本合同发生争议，由争议双方协商解决，协商不成的，向出让方所在地人民法院起诉。违约方应承担争议给守约方造成的损失，该损失包括但不限于律师费、保全费、保全担保费等。</w:t>
      </w:r>
    </w:p>
    <w:p w14:paraId="70E21BE8">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本合同经双方法定代表人或其授权委托代理人签字（章）并加盖印章后生效。</w:t>
      </w:r>
    </w:p>
    <w:p w14:paraId="21A1EC11">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第二十七条 </w:t>
      </w:r>
      <w:r>
        <w:rPr>
          <w:rFonts w:ascii="Times New Roman" w:hAnsi="Times New Roman" w:eastAsia="仿宋_GB2312" w:cs="Times New Roman"/>
          <w:spacing w:val="-6"/>
          <w:sz w:val="32"/>
          <w:szCs w:val="32"/>
        </w:rPr>
        <w:t xml:space="preserve"> 本合同采用汉字书写，一式陆份，具有同等法律效力，双方各执叁份。</w:t>
      </w:r>
    </w:p>
    <w:p w14:paraId="2923D2F6">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第二十八条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规划和自然资源局签订。</w:t>
      </w:r>
    </w:p>
    <w:p w14:paraId="796CEF95">
      <w:pPr>
        <w:spacing w:line="520" w:lineRule="exact"/>
        <w:ind w:firstLine="607"/>
        <w:rPr>
          <w:rFonts w:ascii="Times New Roman" w:hAnsi="Times New Roman" w:eastAsia="仿宋_GB2312" w:cs="Times New Roman"/>
          <w:b/>
          <w:spacing w:val="-6"/>
          <w:sz w:val="32"/>
          <w:szCs w:val="32"/>
        </w:rPr>
      </w:pPr>
    </w:p>
    <w:p w14:paraId="3A9EC521">
      <w:pPr>
        <w:spacing w:line="520" w:lineRule="exact"/>
        <w:ind w:firstLine="608"/>
        <w:jc w:val="center"/>
        <w:rPr>
          <w:rFonts w:ascii="Times New Roman" w:hAnsi="Times New Roman" w:eastAsia="黑体" w:cs="Times New Roman"/>
          <w:b/>
          <w:spacing w:val="-6"/>
          <w:sz w:val="32"/>
          <w:szCs w:val="32"/>
        </w:rPr>
      </w:pPr>
      <w:r>
        <w:rPr>
          <w:rFonts w:ascii="Times New Roman" w:hAnsi="Times New Roman" w:eastAsia="黑体" w:cs="Times New Roman"/>
          <w:b/>
          <w:spacing w:val="-6"/>
          <w:sz w:val="32"/>
          <w:szCs w:val="32"/>
        </w:rPr>
        <w:t>补充条款</w:t>
      </w:r>
    </w:p>
    <w:p w14:paraId="4BBE86B3">
      <w:pPr>
        <w:spacing w:line="520" w:lineRule="exact"/>
        <w:ind w:firstLine="608"/>
        <w:rPr>
          <w:rFonts w:ascii="Times New Roman" w:hAnsi="Times New Roman" w:eastAsia="仿宋_GB2312" w:cs="Times New Roman"/>
          <w:b/>
          <w:spacing w:val="-6"/>
          <w:sz w:val="32"/>
          <w:szCs w:val="32"/>
        </w:rPr>
      </w:pPr>
    </w:p>
    <w:p w14:paraId="3DD0F671">
      <w:pPr>
        <w:spacing w:line="520" w:lineRule="exact"/>
        <w:ind w:firstLine="608"/>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第一条  无</w:t>
      </w:r>
    </w:p>
    <w:p w14:paraId="7460D292">
      <w:pPr>
        <w:spacing w:line="520" w:lineRule="exact"/>
        <w:rPr>
          <w:rFonts w:ascii="Times New Roman" w:hAnsi="Times New Roman" w:eastAsia="仿宋_GB2312" w:cs="Times New Roman"/>
          <w:b/>
          <w:spacing w:val="-6"/>
          <w:sz w:val="32"/>
          <w:szCs w:val="32"/>
        </w:rPr>
      </w:pPr>
    </w:p>
    <w:p w14:paraId="628F6EE2">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14:paraId="7267C604">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rPr>
        <w:t xml:space="preserve">            </w:t>
      </w:r>
    </w:p>
    <w:p w14:paraId="558B66C7">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14:paraId="62C987E8">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14:paraId="50AD0558">
      <w:pPr>
        <w:spacing w:line="520" w:lineRule="exact"/>
        <w:rPr>
          <w:rFonts w:ascii="Times New Roman" w:hAnsi="Times New Roman" w:eastAsia="仿宋_GB2312" w:cs="Times New Roman"/>
          <w:spacing w:val="-6"/>
          <w:sz w:val="32"/>
          <w:szCs w:val="32"/>
        </w:rPr>
      </w:pPr>
    </w:p>
    <w:p w14:paraId="326E435B">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14:paraId="6A381F40">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p w14:paraId="157F3494">
      <w:pPr>
        <w:rPr>
          <w:rFonts w:ascii="Times New Roman" w:hAnsi="Times New Roman" w:cs="Times New Roman"/>
        </w:rPr>
      </w:pPr>
    </w:p>
    <w:sectPr>
      <w:footerReference r:id="rId3" w:type="default"/>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0989184"/>
    </w:sdtPr>
    <w:sdtContent>
      <w:p w14:paraId="49CC1AAE">
        <w:pPr>
          <w:pStyle w:val="3"/>
          <w:jc w:val="center"/>
        </w:pPr>
        <w:r>
          <w:fldChar w:fldCharType="begin"/>
        </w:r>
        <w:r>
          <w:instrText xml:space="preserve">PAGE   \* MERGEFORMAT</w:instrText>
        </w:r>
        <w:r>
          <w:fldChar w:fldCharType="separate"/>
        </w:r>
        <w:r>
          <w:rPr>
            <w:lang w:val="zh-CN"/>
          </w:rPr>
          <w:t>7</w:t>
        </w:r>
        <w:r>
          <w:fldChar w:fldCharType="end"/>
        </w:r>
      </w:p>
    </w:sdtContent>
  </w:sdt>
  <w:p w14:paraId="4A667F2C">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kNzVkNTQ2ZDBmNDgzNmVlYTU5MDkxZmUwYjcyYTIifQ=="/>
  </w:docVars>
  <w:rsids>
    <w:rsidRoot w:val="004A4CFF"/>
    <w:rsid w:val="000E29AB"/>
    <w:rsid w:val="00141380"/>
    <w:rsid w:val="00156AF8"/>
    <w:rsid w:val="001C7666"/>
    <w:rsid w:val="00237F05"/>
    <w:rsid w:val="003F2140"/>
    <w:rsid w:val="004013EA"/>
    <w:rsid w:val="0048647F"/>
    <w:rsid w:val="004A4CFF"/>
    <w:rsid w:val="004A7784"/>
    <w:rsid w:val="004B3804"/>
    <w:rsid w:val="004E61B9"/>
    <w:rsid w:val="00561718"/>
    <w:rsid w:val="00590B0C"/>
    <w:rsid w:val="00595121"/>
    <w:rsid w:val="005A7D3F"/>
    <w:rsid w:val="005B722A"/>
    <w:rsid w:val="0061071D"/>
    <w:rsid w:val="00625755"/>
    <w:rsid w:val="00695B97"/>
    <w:rsid w:val="006D6E1B"/>
    <w:rsid w:val="00727728"/>
    <w:rsid w:val="007746C1"/>
    <w:rsid w:val="007C490D"/>
    <w:rsid w:val="00813470"/>
    <w:rsid w:val="00837F7C"/>
    <w:rsid w:val="008C7F6E"/>
    <w:rsid w:val="008D653B"/>
    <w:rsid w:val="009E43A5"/>
    <w:rsid w:val="00A066B6"/>
    <w:rsid w:val="00A24041"/>
    <w:rsid w:val="00A954FE"/>
    <w:rsid w:val="00B36DD0"/>
    <w:rsid w:val="00C07A6D"/>
    <w:rsid w:val="00C6763E"/>
    <w:rsid w:val="00CC4664"/>
    <w:rsid w:val="00CC65BF"/>
    <w:rsid w:val="00D43ED0"/>
    <w:rsid w:val="00DA0D81"/>
    <w:rsid w:val="00DF19FA"/>
    <w:rsid w:val="00E06812"/>
    <w:rsid w:val="00E93092"/>
    <w:rsid w:val="00F11BF7"/>
    <w:rsid w:val="00F50382"/>
    <w:rsid w:val="00F65932"/>
    <w:rsid w:val="0BB01571"/>
    <w:rsid w:val="1CE57679"/>
    <w:rsid w:val="215F7EE1"/>
    <w:rsid w:val="29C26BA5"/>
    <w:rsid w:val="33C164C7"/>
    <w:rsid w:val="41A708F9"/>
    <w:rsid w:val="49EB5C7E"/>
    <w:rsid w:val="6CEF1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3282</Words>
  <Characters>3292</Characters>
  <Lines>26</Lines>
  <Paragraphs>7</Paragraphs>
  <TotalTime>8</TotalTime>
  <ScaleCrop>false</ScaleCrop>
  <LinksUpToDate>false</LinksUpToDate>
  <CharactersWithSpaces>3689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2023-05-18T08:29:00Z</dcterms:created>
  <dc:creator>Microsoft</dc:creator>
  <cp:lastModifiedBy>壹Lexie</cp:lastModifiedBy>
  <dcterms:modified xsi:type="dcterms:W3CDTF">2024-08-15T01:07:39Z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64AA611F9FDB4FA0891ABAA4732EAF0D_12</vt:lpwstr>
  </property>
</Properties>
</file>