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360C45">
      <w:pPr>
        <w:spacing w:line="560" w:lineRule="exact"/>
        <w:jc w:val="center"/>
        <w:rPr>
          <w:rFonts w:ascii="Times New Roman" w:hAnsi="Times New Roman" w:eastAsia="方正小标宋_GBK" w:cs="Times New Roman"/>
          <w:sz w:val="44"/>
          <w:szCs w:val="24"/>
        </w:rPr>
      </w:pPr>
      <w:r>
        <w:rPr>
          <w:rFonts w:ascii="Times New Roman" w:hAnsi="Times New Roman" w:eastAsia="方正小标宋_GBK" w:cs="Times New Roman"/>
          <w:sz w:val="44"/>
          <w:szCs w:val="24"/>
        </w:rPr>
        <w:t>重庆市采矿权出让合同</w:t>
      </w:r>
    </w:p>
    <w:p w14:paraId="30F6AE8D">
      <w:pPr>
        <w:spacing w:line="560" w:lineRule="exact"/>
        <w:jc w:val="center"/>
        <w:rPr>
          <w:rFonts w:ascii="Times New Roman" w:hAnsi="Times New Roman" w:eastAsia="宋体" w:cs="Times New Roman"/>
          <w:b/>
          <w:sz w:val="32"/>
          <w:szCs w:val="24"/>
        </w:rPr>
      </w:pPr>
    </w:p>
    <w:p w14:paraId="70984E88">
      <w:pPr>
        <w:spacing w:line="560" w:lineRule="exact"/>
        <w:jc w:val="center"/>
        <w:rPr>
          <w:rFonts w:hint="default" w:ascii="Times New Roman" w:hAnsi="Times New Roman" w:eastAsia="仿宋_GB2312" w:cs="Times New Roman"/>
          <w:sz w:val="32"/>
          <w:szCs w:val="24"/>
          <w:u w:val="single"/>
          <w:lang w:val="en-US" w:eastAsia="zh-CN"/>
        </w:rPr>
      </w:pPr>
      <w:r>
        <w:rPr>
          <w:rFonts w:hint="eastAsia" w:ascii="Times New Roman" w:hAnsi="Times New Roman" w:eastAsia="楷体_GB2312" w:cs="Times New Roman"/>
          <w:sz w:val="32"/>
          <w:szCs w:val="24"/>
          <w:lang w:eastAsia="zh-CN"/>
        </w:rPr>
        <w:t>合同编号：</w:t>
      </w:r>
      <w:r>
        <w:rPr>
          <w:rFonts w:hint="eastAsia" w:ascii="Times New Roman" w:hAnsi="Times New Roman" w:eastAsia="楷体_GB2312" w:cs="Times New Roman"/>
          <w:sz w:val="32"/>
          <w:szCs w:val="24"/>
          <w:u w:val="single"/>
          <w:lang w:val="en-US" w:eastAsia="zh-CN"/>
        </w:rPr>
        <w:t xml:space="preserve">                  </w:t>
      </w:r>
    </w:p>
    <w:p w14:paraId="16415F8D">
      <w:pPr>
        <w:spacing w:line="560" w:lineRule="exact"/>
        <w:ind w:firstLine="643" w:firstLineChars="200"/>
        <w:rPr>
          <w:rFonts w:ascii="Times New Roman" w:hAnsi="Times New Roman" w:eastAsia="仿宋_GB2312" w:cs="Times New Roman"/>
          <w:b/>
          <w:sz w:val="32"/>
          <w:szCs w:val="32"/>
        </w:rPr>
      </w:pPr>
    </w:p>
    <w:p w14:paraId="11CDE1F3">
      <w:pPr>
        <w:spacing w:line="56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出让方</w:t>
      </w:r>
      <w:r>
        <w:rPr>
          <w:rFonts w:hint="eastAsia" w:ascii="Times New Roman" w:hAnsi="Times New Roman" w:eastAsia="仿宋_GB2312" w:cs="Times New Roman"/>
          <w:b/>
          <w:sz w:val="32"/>
          <w:szCs w:val="32"/>
          <w:lang w:eastAsia="zh-CN"/>
        </w:rPr>
        <w:t>（甲方）</w:t>
      </w:r>
      <w:r>
        <w:rPr>
          <w:rFonts w:ascii="Times New Roman" w:hAnsi="Times New Roman" w:eastAsia="仿宋_GB2312" w:cs="Times New Roman"/>
          <w:b/>
          <w:sz w:val="32"/>
          <w:szCs w:val="32"/>
        </w:rPr>
        <w:t>：</w:t>
      </w:r>
      <w:r>
        <w:rPr>
          <w:rFonts w:hint="eastAsia" w:ascii="Times New Roman" w:hAnsi="Times New Roman" w:eastAsia="仿宋_GB2312" w:cs="Times New Roman"/>
          <w:b w:val="0"/>
          <w:bCs/>
          <w:sz w:val="32"/>
          <w:szCs w:val="32"/>
          <w:u w:val="single"/>
          <w:lang w:eastAsia="zh-CN"/>
        </w:rPr>
        <w:t>城口县规划和自然资源局</w:t>
      </w:r>
      <w:r>
        <w:rPr>
          <w:rFonts w:ascii="Times New Roman" w:hAnsi="Times New Roman" w:eastAsia="仿宋_GB2312" w:cs="Times New Roman"/>
          <w:b w:val="0"/>
          <w:bCs/>
          <w:sz w:val="32"/>
          <w:szCs w:val="32"/>
          <w:u w:val="single"/>
        </w:rPr>
        <w:t xml:space="preserve"> </w:t>
      </w:r>
      <w:r>
        <w:rPr>
          <w:rFonts w:ascii="Times New Roman" w:hAnsi="Times New Roman" w:eastAsia="仿宋_GB2312" w:cs="Times New Roman"/>
          <w:b w:val="0"/>
          <w:bCs/>
          <w:sz w:val="32"/>
          <w:szCs w:val="32"/>
        </w:rPr>
        <w:t xml:space="preserve"> </w:t>
      </w:r>
      <w:r>
        <w:rPr>
          <w:rFonts w:ascii="Times New Roman" w:hAnsi="Times New Roman" w:eastAsia="仿宋_GB2312" w:cs="Times New Roman"/>
          <w:sz w:val="32"/>
          <w:szCs w:val="32"/>
        </w:rPr>
        <w:t xml:space="preserve">   </w:t>
      </w:r>
    </w:p>
    <w:p w14:paraId="03FBEB85">
      <w:pPr>
        <w:spacing w:line="560" w:lineRule="exact"/>
        <w:ind w:firstLine="632"/>
        <w:rPr>
          <w:rFonts w:ascii="Times New Roman" w:hAnsi="Times New Roman" w:eastAsia="仿宋_GB2312" w:cs="Times New Roman"/>
          <w:bCs/>
          <w:sz w:val="32"/>
          <w:szCs w:val="32"/>
        </w:rPr>
      </w:pPr>
      <w:r>
        <w:rPr>
          <w:rFonts w:ascii="Times New Roman" w:hAnsi="Times New Roman" w:eastAsia="仿宋_GB2312" w:cs="Times New Roman"/>
          <w:b/>
          <w:spacing w:val="40"/>
          <w:sz w:val="32"/>
          <w:szCs w:val="32"/>
        </w:rPr>
        <w:t>通讯地址</w:t>
      </w:r>
      <w:r>
        <w:rPr>
          <w:rFonts w:ascii="Times New Roman" w:hAnsi="Times New Roman" w:eastAsia="仿宋_GB2312" w:cs="Times New Roman"/>
          <w:b/>
          <w:sz w:val="32"/>
          <w:szCs w:val="32"/>
        </w:rPr>
        <w:t>：</w:t>
      </w:r>
      <w:r>
        <w:rPr>
          <w:rFonts w:hint="default" w:ascii="Times New Roman" w:hAnsi="Times New Roman" w:eastAsia="仿宋_GB2312" w:cs="Times New Roman"/>
          <w:b w:val="0"/>
          <w:bCs/>
          <w:sz w:val="32"/>
          <w:szCs w:val="32"/>
          <w:u w:val="single"/>
          <w:lang w:eastAsia="zh-CN"/>
        </w:rPr>
        <w:t>城口县葛城街道北大街行政综合</w:t>
      </w:r>
      <w:r>
        <w:rPr>
          <w:rFonts w:ascii="Times New Roman" w:hAnsi="Times New Roman" w:eastAsia="仿宋_GB2312" w:cs="Times New Roman"/>
          <w:bCs/>
          <w:sz w:val="32"/>
          <w:szCs w:val="32"/>
          <w:u w:val="single"/>
        </w:rPr>
        <w:t xml:space="preserve"> </w:t>
      </w:r>
    </w:p>
    <w:p w14:paraId="5888A8B5">
      <w:pPr>
        <w:spacing w:line="560" w:lineRule="exact"/>
        <w:ind w:firstLine="632"/>
        <w:rPr>
          <w:rFonts w:ascii="Times New Roman" w:hAnsi="Times New Roman" w:eastAsia="仿宋_GB2312" w:cs="Times New Roman"/>
          <w:bCs/>
          <w:sz w:val="32"/>
          <w:szCs w:val="32"/>
          <w:u w:val="single"/>
        </w:rPr>
      </w:pPr>
      <w:r>
        <w:rPr>
          <w:rFonts w:ascii="Times New Roman" w:hAnsi="Times New Roman" w:eastAsia="仿宋_GB2312" w:cs="Times New Roman"/>
          <w:b/>
          <w:sz w:val="32"/>
          <w:szCs w:val="32"/>
        </w:rPr>
        <w:t>法定代表人：</w:t>
      </w:r>
      <w:r>
        <w:rPr>
          <w:rFonts w:hint="eastAsia" w:ascii="Times New Roman" w:hAnsi="Times New Roman" w:eastAsia="仿宋_GB2312" w:cs="Times New Roman"/>
          <w:b w:val="0"/>
          <w:bCs/>
          <w:sz w:val="32"/>
          <w:szCs w:val="32"/>
          <w:u w:val="single"/>
          <w:lang w:eastAsia="zh-CN"/>
        </w:rPr>
        <w:t>刘关林</w:t>
      </w:r>
      <w:r>
        <w:rPr>
          <w:rFonts w:ascii="Times New Roman" w:hAnsi="Times New Roman" w:eastAsia="仿宋_GB2312" w:cs="Times New Roman"/>
          <w:bCs/>
          <w:sz w:val="32"/>
          <w:szCs w:val="32"/>
        </w:rPr>
        <w:t xml:space="preserve">    </w:t>
      </w:r>
      <w:r>
        <w:rPr>
          <w:rFonts w:ascii="Times New Roman" w:hAnsi="Times New Roman" w:eastAsia="仿宋_GB2312" w:cs="Times New Roman"/>
          <w:sz w:val="32"/>
          <w:szCs w:val="32"/>
        </w:rPr>
        <w:t xml:space="preserve">      </w:t>
      </w:r>
      <w:r>
        <w:rPr>
          <w:rFonts w:ascii="Times New Roman" w:hAnsi="Times New Roman" w:eastAsia="仿宋_GB2312" w:cs="Times New Roman"/>
          <w:b/>
          <w:sz w:val="32"/>
          <w:szCs w:val="32"/>
        </w:rPr>
        <w:t>职   务：</w:t>
      </w:r>
      <w:r>
        <w:rPr>
          <w:rFonts w:hint="eastAsia" w:ascii="Times New Roman" w:hAnsi="Times New Roman" w:eastAsia="仿宋_GB2312" w:cs="Times New Roman"/>
          <w:b w:val="0"/>
          <w:bCs/>
          <w:sz w:val="32"/>
          <w:szCs w:val="32"/>
          <w:u w:val="single"/>
          <w:lang w:eastAsia="zh-CN"/>
        </w:rPr>
        <w:t>党组书记、</w:t>
      </w:r>
      <w:r>
        <w:rPr>
          <w:rFonts w:ascii="Times New Roman" w:hAnsi="Times New Roman" w:eastAsia="仿宋_GB2312" w:cs="Times New Roman"/>
          <w:bCs/>
          <w:sz w:val="32"/>
          <w:szCs w:val="32"/>
          <w:u w:val="single"/>
        </w:rPr>
        <w:t>局长</w:t>
      </w:r>
    </w:p>
    <w:p w14:paraId="10722510">
      <w:pPr>
        <w:spacing w:line="560" w:lineRule="exact"/>
        <w:ind w:firstLine="632"/>
        <w:rPr>
          <w:rFonts w:ascii="Times New Roman" w:hAnsi="Times New Roman" w:eastAsia="仿宋_GB2312" w:cs="Times New Roman"/>
          <w:sz w:val="32"/>
          <w:szCs w:val="32"/>
        </w:rPr>
      </w:pPr>
    </w:p>
    <w:p w14:paraId="581AC044">
      <w:pPr>
        <w:spacing w:line="560" w:lineRule="exact"/>
        <w:ind w:firstLine="632"/>
        <w:rPr>
          <w:rFonts w:hint="default" w:ascii="Times New Roman" w:hAnsi="Times New Roman" w:eastAsia="仿宋_GB2312" w:cs="Times New Roman"/>
          <w:sz w:val="32"/>
          <w:szCs w:val="32"/>
          <w:lang w:val="en-US" w:eastAsia="zh-CN"/>
        </w:rPr>
      </w:pPr>
      <w:r>
        <w:rPr>
          <w:rFonts w:ascii="Times New Roman" w:hAnsi="Times New Roman" w:eastAsia="仿宋_GB2312" w:cs="Times New Roman"/>
          <w:b/>
          <w:sz w:val="32"/>
          <w:szCs w:val="32"/>
        </w:rPr>
        <w:t>受让方</w:t>
      </w:r>
      <w:r>
        <w:rPr>
          <w:rFonts w:hint="eastAsia" w:ascii="Times New Roman" w:hAnsi="Times New Roman" w:eastAsia="仿宋_GB2312" w:cs="Times New Roman"/>
          <w:b/>
          <w:sz w:val="32"/>
          <w:szCs w:val="32"/>
          <w:lang w:eastAsia="zh-CN"/>
        </w:rPr>
        <w:t>（乙方）</w:t>
      </w:r>
      <w:r>
        <w:rPr>
          <w:rFonts w:ascii="Times New Roman" w:hAnsi="Times New Roman" w:eastAsia="仿宋_GB2312" w:cs="Times New Roman"/>
          <w:b/>
          <w:sz w:val="32"/>
          <w:szCs w:val="32"/>
        </w:rPr>
        <w:t>：</w:t>
      </w:r>
      <w:r>
        <w:rPr>
          <w:rFonts w:hint="eastAsia" w:ascii="Times New Roman" w:hAnsi="Times New Roman" w:eastAsia="仿宋_GB2312" w:cs="Times New Roman"/>
          <w:b w:val="0"/>
          <w:bCs/>
          <w:i w:val="0"/>
          <w:iCs w:val="0"/>
          <w:sz w:val="32"/>
          <w:szCs w:val="32"/>
          <w:u w:val="single"/>
          <w:lang w:val="en-US" w:eastAsia="zh-CN"/>
        </w:rPr>
        <w:t xml:space="preserve">                          </w:t>
      </w:r>
      <w:r>
        <w:rPr>
          <w:rFonts w:hint="eastAsia" w:ascii="Times New Roman" w:hAnsi="Times New Roman" w:eastAsia="仿宋_GB2312" w:cs="Times New Roman"/>
          <w:b/>
          <w:sz w:val="32"/>
          <w:szCs w:val="32"/>
          <w:lang w:val="en-US" w:eastAsia="zh-CN"/>
        </w:rPr>
        <w:t xml:space="preserve">  </w:t>
      </w:r>
    </w:p>
    <w:p w14:paraId="2E0A148E">
      <w:pPr>
        <w:spacing w:line="560" w:lineRule="exact"/>
        <w:ind w:firstLine="632"/>
        <w:rPr>
          <w:rFonts w:hint="default" w:ascii="Times New Roman" w:hAnsi="Times New Roman" w:eastAsia="仿宋_GB2312" w:cs="Times New Roman"/>
          <w:sz w:val="32"/>
          <w:szCs w:val="32"/>
          <w:lang w:val="en-US" w:eastAsia="zh-CN"/>
        </w:rPr>
      </w:pPr>
      <w:r>
        <w:rPr>
          <w:rFonts w:ascii="Times New Roman" w:hAnsi="Times New Roman" w:eastAsia="仿宋_GB2312" w:cs="Times New Roman"/>
          <w:b/>
          <w:spacing w:val="40"/>
          <w:sz w:val="32"/>
          <w:szCs w:val="32"/>
        </w:rPr>
        <w:t>通讯地址</w:t>
      </w:r>
      <w:r>
        <w:rPr>
          <w:rFonts w:ascii="Times New Roman" w:hAnsi="Times New Roman" w:eastAsia="仿宋_GB2312" w:cs="Times New Roman"/>
          <w:b/>
          <w:sz w:val="32"/>
          <w:szCs w:val="32"/>
        </w:rPr>
        <w:t>：</w:t>
      </w:r>
      <w:r>
        <w:rPr>
          <w:rFonts w:hint="eastAsia" w:ascii="Times New Roman" w:hAnsi="Times New Roman" w:eastAsia="仿宋_GB2312" w:cs="Times New Roman"/>
          <w:b w:val="0"/>
          <w:bCs/>
          <w:sz w:val="32"/>
          <w:szCs w:val="32"/>
          <w:u w:val="single"/>
          <w:lang w:val="en-US" w:eastAsia="zh-CN"/>
        </w:rPr>
        <w:t xml:space="preserve">                          </w:t>
      </w:r>
    </w:p>
    <w:p w14:paraId="1CC73AD3">
      <w:pPr>
        <w:spacing w:line="560" w:lineRule="exact"/>
        <w:ind w:firstLine="632"/>
        <w:rPr>
          <w:rFonts w:hint="default" w:ascii="Times New Roman" w:hAnsi="Times New Roman" w:eastAsia="仿宋_GB2312" w:cs="Times New Roman"/>
          <w:sz w:val="32"/>
          <w:szCs w:val="32"/>
          <w:u w:val="single"/>
          <w:lang w:val="en-US" w:eastAsia="zh-CN"/>
        </w:rPr>
      </w:pPr>
      <w:r>
        <w:rPr>
          <w:rFonts w:ascii="Times New Roman" w:hAnsi="Times New Roman" w:eastAsia="仿宋_GB2312" w:cs="Times New Roman"/>
          <w:b/>
          <w:sz w:val="32"/>
          <w:szCs w:val="32"/>
        </w:rPr>
        <w:t>法定代表人：</w:t>
      </w:r>
      <w:r>
        <w:rPr>
          <w:rFonts w:hint="eastAsia" w:ascii="Times New Roman" w:hAnsi="Times New Roman" w:eastAsia="仿宋_GB2312" w:cs="Times New Roman"/>
          <w:b w:val="0"/>
          <w:bCs/>
          <w:sz w:val="32"/>
          <w:szCs w:val="32"/>
          <w:u w:val="single"/>
          <w:lang w:val="en-US" w:eastAsia="zh-CN"/>
        </w:rPr>
        <w:t xml:space="preserve">       </w:t>
      </w:r>
    </w:p>
    <w:p w14:paraId="0CC439E9">
      <w:pPr>
        <w:spacing w:line="560" w:lineRule="exact"/>
        <w:ind w:firstLine="632"/>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w:t>
      </w:r>
    </w:p>
    <w:p w14:paraId="7AB6AB70">
      <w:pPr>
        <w:spacing w:line="52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根据《中华人民共和国矿产资源法》《重庆市矿产资源管理条例》等有关法律法规规定，双方本着平等、自愿、公平、诚实信用的原则，依法订立本合同。</w:t>
      </w:r>
    </w:p>
    <w:p w14:paraId="0608EF17">
      <w:pPr>
        <w:spacing w:line="520" w:lineRule="exact"/>
        <w:ind w:firstLine="619" w:firstLineChars="200"/>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第一条</w:t>
      </w:r>
      <w:r>
        <w:rPr>
          <w:rFonts w:ascii="Times New Roman" w:hAnsi="Times New Roman" w:eastAsia="仿宋_GB2312" w:cs="Times New Roman"/>
          <w:spacing w:val="-6"/>
          <w:sz w:val="32"/>
          <w:szCs w:val="32"/>
        </w:rPr>
        <w:t xml:space="preserve">  矿产资源属于国家所有；地表或者地下的矿产资源的国家所有权，不因其所依附的土地的所有权或者使用权的不同而改变；国家对其拥有宪法和法律授予的司法管辖权、行政管理权和因社会公共利益所必需的权益。</w:t>
      </w:r>
    </w:p>
    <w:p w14:paraId="69D0A66D">
      <w:pPr>
        <w:spacing w:line="540" w:lineRule="exact"/>
        <w:ind w:firstLine="608"/>
        <w:rPr>
          <w:rFonts w:ascii="Times New Roman" w:hAnsi="Times New Roman" w:eastAsia="仿宋_GB2312" w:cs="Times New Roman"/>
          <w:spacing w:val="-6"/>
          <w:sz w:val="32"/>
          <w:szCs w:val="32"/>
          <w:u w:val="single"/>
        </w:rPr>
      </w:pPr>
      <w:r>
        <w:rPr>
          <w:rFonts w:ascii="Times New Roman" w:hAnsi="Times New Roman" w:eastAsia="仿宋_GB2312" w:cs="Times New Roman"/>
          <w:b/>
          <w:spacing w:val="-6"/>
          <w:sz w:val="32"/>
          <w:szCs w:val="32"/>
        </w:rPr>
        <w:t>第二条</w:t>
      </w:r>
      <w:r>
        <w:rPr>
          <w:rFonts w:ascii="Times New Roman" w:hAnsi="Times New Roman" w:eastAsia="仿宋_GB2312" w:cs="Times New Roman"/>
          <w:spacing w:val="-6"/>
          <w:sz w:val="32"/>
          <w:szCs w:val="32"/>
        </w:rPr>
        <w:t xml:space="preserve">  本采矿权属</w:t>
      </w:r>
      <w:r>
        <w:rPr>
          <w:rFonts w:ascii="Times New Roman" w:hAnsi="Times New Roman" w:eastAsia="仿宋_GB2312" w:cs="Times New Roman"/>
          <w:spacing w:val="-6"/>
          <w:sz w:val="32"/>
          <w:szCs w:val="32"/>
          <w:u w:val="single"/>
        </w:rPr>
        <w:t>（</w:t>
      </w:r>
      <w:r>
        <w:rPr>
          <w:rFonts w:hint="eastAsia" w:ascii="Times New Roman" w:hAnsi="Times New Roman" w:eastAsia="仿宋_GB2312" w:cs="Times New Roman"/>
          <w:spacing w:val="-6"/>
          <w:sz w:val="32"/>
          <w:szCs w:val="32"/>
          <w:u w:val="single"/>
          <w:lang w:eastAsia="zh-CN"/>
        </w:rPr>
        <w:t>新立</w:t>
      </w:r>
      <w:r>
        <w:rPr>
          <w:rFonts w:ascii="Times New Roman" w:hAnsi="Times New Roman" w:eastAsia="仿宋_GB2312" w:cs="Times New Roman"/>
          <w:spacing w:val="-6"/>
          <w:sz w:val="32"/>
          <w:szCs w:val="32"/>
          <w:u w:val="single"/>
        </w:rPr>
        <w:t>）。</w:t>
      </w:r>
    </w:p>
    <w:p w14:paraId="096B174E">
      <w:pPr>
        <w:spacing w:line="540" w:lineRule="exact"/>
        <w:ind w:firstLine="608"/>
        <w:rPr>
          <w:rFonts w:hint="eastAsia" w:ascii="Times New Roman" w:hAnsi="Times New Roman" w:eastAsia="仿宋_GB2312" w:cs="Times New Roman"/>
          <w:spacing w:val="-6"/>
          <w:sz w:val="32"/>
          <w:szCs w:val="32"/>
          <w:u w:val="single"/>
          <w:lang w:eastAsia="zh-CN"/>
        </w:rPr>
      </w:pPr>
      <w:r>
        <w:rPr>
          <w:rFonts w:hint="eastAsia" w:ascii="Times New Roman" w:hAnsi="Times New Roman" w:eastAsia="仿宋_GB2312" w:cs="Times New Roman"/>
          <w:spacing w:val="-6"/>
          <w:sz w:val="32"/>
          <w:szCs w:val="32"/>
          <w:u w:val="none"/>
          <w:lang w:val="en-US" w:eastAsia="zh-CN"/>
        </w:rPr>
        <w:t>1、</w:t>
      </w:r>
      <w:r>
        <w:rPr>
          <w:rFonts w:hint="eastAsia" w:ascii="Times New Roman" w:hAnsi="Times New Roman" w:eastAsia="仿宋_GB2312" w:cs="Times New Roman"/>
          <w:spacing w:val="-6"/>
          <w:sz w:val="32"/>
          <w:szCs w:val="32"/>
          <w:u w:val="none"/>
          <w:lang w:eastAsia="zh-CN"/>
        </w:rPr>
        <w:t>出让方式：</w:t>
      </w:r>
      <w:r>
        <w:rPr>
          <w:rFonts w:hint="eastAsia" w:ascii="Times New Roman" w:hAnsi="Times New Roman" w:eastAsia="仿宋_GB2312" w:cs="Times New Roman"/>
          <w:spacing w:val="-6"/>
          <w:sz w:val="32"/>
          <w:szCs w:val="32"/>
          <w:u w:val="single"/>
          <w:lang w:eastAsia="zh-CN"/>
        </w:rPr>
        <w:t>挂牌</w:t>
      </w:r>
    </w:p>
    <w:p w14:paraId="58728E12">
      <w:pPr>
        <w:spacing w:line="540" w:lineRule="exact"/>
        <w:ind w:firstLine="608"/>
        <w:rPr>
          <w:rFonts w:hint="eastAsia" w:ascii="Times New Roman" w:hAnsi="Times New Roman" w:eastAsia="方正仿宋_GBK" w:cs="Times New Roman"/>
          <w:i w:val="0"/>
          <w:iCs/>
          <w:color w:val="000000"/>
          <w:sz w:val="32"/>
          <w:szCs w:val="32"/>
          <w:u w:val="single"/>
        </w:rPr>
      </w:pPr>
      <w:r>
        <w:rPr>
          <w:rFonts w:hint="eastAsia" w:ascii="Times New Roman" w:hAnsi="Times New Roman" w:eastAsia="仿宋_GB2312" w:cs="Times New Roman"/>
          <w:spacing w:val="-6"/>
          <w:sz w:val="32"/>
          <w:szCs w:val="32"/>
          <w:u w:val="none"/>
          <w:lang w:val="en-US" w:eastAsia="zh-CN"/>
        </w:rPr>
        <w:t>2、</w:t>
      </w:r>
      <w:r>
        <w:rPr>
          <w:rFonts w:ascii="Times New Roman" w:hAnsi="Times New Roman" w:eastAsia="仿宋_GB2312" w:cs="Times New Roman"/>
          <w:spacing w:val="-6"/>
          <w:sz w:val="32"/>
          <w:szCs w:val="32"/>
          <w:u w:val="none"/>
        </w:rPr>
        <w:t>交易机构</w:t>
      </w:r>
      <w:r>
        <w:rPr>
          <w:rFonts w:hint="eastAsia" w:ascii="Times New Roman" w:hAnsi="Times New Roman" w:eastAsia="仿宋_GB2312" w:cs="Times New Roman"/>
          <w:spacing w:val="-6"/>
          <w:sz w:val="32"/>
          <w:szCs w:val="32"/>
          <w:u w:val="none"/>
          <w:lang w:eastAsia="zh-CN"/>
        </w:rPr>
        <w:t>：</w:t>
      </w:r>
      <w:r>
        <w:rPr>
          <w:rFonts w:hint="eastAsia" w:ascii="Times New Roman" w:hAnsi="Times New Roman" w:eastAsia="方正仿宋_GBK" w:cs="Times New Roman"/>
          <w:i w:val="0"/>
          <w:iCs/>
          <w:color w:val="000000"/>
          <w:sz w:val="32"/>
          <w:szCs w:val="32"/>
          <w:u w:val="single"/>
        </w:rPr>
        <w:t>重庆市公共资源交易中心</w:t>
      </w:r>
    </w:p>
    <w:p w14:paraId="18CEF209">
      <w:pPr>
        <w:spacing w:line="540" w:lineRule="exact"/>
        <w:ind w:firstLine="608"/>
        <w:rPr>
          <w:rFonts w:hint="eastAsia" w:ascii="Times New Roman" w:hAnsi="Times New Roman" w:eastAsia="仿宋_GB2312" w:cs="Times New Roman"/>
          <w:spacing w:val="-6"/>
          <w:sz w:val="32"/>
          <w:szCs w:val="32"/>
          <w:u w:val="single"/>
          <w:lang w:val="en-US" w:eastAsia="zh-CN"/>
        </w:rPr>
      </w:pPr>
      <w:r>
        <w:rPr>
          <w:rFonts w:hint="eastAsia" w:ascii="Times New Roman" w:hAnsi="Times New Roman" w:eastAsia="方正仿宋_GBK" w:cs="Times New Roman"/>
          <w:i w:val="0"/>
          <w:iCs/>
          <w:color w:val="000000"/>
          <w:sz w:val="32"/>
          <w:szCs w:val="32"/>
          <w:u w:val="none"/>
          <w:lang w:val="en-US" w:eastAsia="zh-CN"/>
        </w:rPr>
        <w:t>3、</w:t>
      </w:r>
      <w:r>
        <w:rPr>
          <w:rFonts w:ascii="Times New Roman" w:hAnsi="Times New Roman" w:eastAsia="仿宋_GB2312" w:cs="Times New Roman"/>
          <w:spacing w:val="-6"/>
          <w:sz w:val="32"/>
          <w:szCs w:val="32"/>
          <w:u w:val="none"/>
        </w:rPr>
        <w:t>交易机构法定代表</w:t>
      </w:r>
      <w:r>
        <w:rPr>
          <w:rFonts w:hint="eastAsia" w:ascii="Times New Roman" w:hAnsi="Times New Roman" w:eastAsia="仿宋_GB2312" w:cs="Times New Roman"/>
          <w:spacing w:val="-6"/>
          <w:sz w:val="32"/>
          <w:szCs w:val="32"/>
          <w:u w:val="none"/>
          <w:lang w:eastAsia="zh-CN"/>
        </w:rPr>
        <w:t>人：</w:t>
      </w:r>
      <w:r>
        <w:rPr>
          <w:rFonts w:hint="eastAsia" w:ascii="Times New Roman" w:hAnsi="Times New Roman" w:eastAsia="仿宋_GB2312" w:cs="Times New Roman"/>
          <w:spacing w:val="-6"/>
          <w:sz w:val="32"/>
          <w:szCs w:val="32"/>
          <w:u w:val="single"/>
          <w:lang w:val="en-US" w:eastAsia="zh-CN"/>
        </w:rPr>
        <w:t>庞国标</w:t>
      </w:r>
    </w:p>
    <w:p w14:paraId="4C9958AF">
      <w:pPr>
        <w:spacing w:line="540" w:lineRule="exact"/>
        <w:ind w:firstLine="608"/>
        <w:rPr>
          <w:rFonts w:ascii="Times New Roman" w:hAnsi="Times New Roman" w:eastAsia="仿宋_GB2312" w:cs="Times New Roman"/>
          <w:spacing w:val="-6"/>
          <w:sz w:val="32"/>
          <w:szCs w:val="32"/>
          <w:u w:val="none"/>
        </w:rPr>
      </w:pPr>
      <w:r>
        <w:rPr>
          <w:rFonts w:hint="eastAsia" w:ascii="Times New Roman" w:hAnsi="Times New Roman" w:eastAsia="仿宋_GB2312" w:cs="Times New Roman"/>
          <w:spacing w:val="-6"/>
          <w:sz w:val="32"/>
          <w:szCs w:val="32"/>
          <w:u w:val="none"/>
          <w:lang w:val="en-US" w:eastAsia="zh-CN"/>
        </w:rPr>
        <w:t>4</w:t>
      </w:r>
      <w:r>
        <w:rPr>
          <w:rFonts w:ascii="Times New Roman" w:hAnsi="Times New Roman" w:eastAsia="仿宋_GB2312" w:cs="Times New Roman"/>
          <w:spacing w:val="-6"/>
          <w:sz w:val="32"/>
          <w:szCs w:val="32"/>
          <w:u w:val="none"/>
        </w:rPr>
        <w:t>、交易地点</w:t>
      </w:r>
      <w:r>
        <w:rPr>
          <w:rFonts w:hint="eastAsia" w:ascii="Times New Roman" w:hAnsi="Times New Roman" w:eastAsia="仿宋_GB2312" w:cs="Times New Roman"/>
          <w:spacing w:val="-6"/>
          <w:sz w:val="32"/>
          <w:szCs w:val="32"/>
          <w:u w:val="none"/>
          <w:lang w:eastAsia="zh-CN"/>
        </w:rPr>
        <w:t>：</w:t>
      </w:r>
      <w:r>
        <w:rPr>
          <w:rFonts w:hint="eastAsia" w:ascii="Times New Roman" w:hAnsi="Times New Roman" w:eastAsia="方正仿宋_GBK" w:cs="Times New Roman"/>
          <w:i w:val="0"/>
          <w:iCs/>
          <w:color w:val="000000"/>
          <w:sz w:val="32"/>
          <w:szCs w:val="32"/>
          <w:u w:val="single"/>
        </w:rPr>
        <w:t>重庆市渝北区青枫北路6号渝兴广场B9、B10栋</w:t>
      </w:r>
      <w:r>
        <w:rPr>
          <w:rFonts w:ascii="Times New Roman" w:hAnsi="Times New Roman" w:eastAsia="仿宋_GB2312" w:cs="Times New Roman"/>
          <w:spacing w:val="-6"/>
          <w:sz w:val="32"/>
          <w:szCs w:val="32"/>
          <w:u w:val="none"/>
        </w:rPr>
        <w:t>。</w:t>
      </w:r>
    </w:p>
    <w:p w14:paraId="2144AB84">
      <w:pPr>
        <w:spacing w:line="540" w:lineRule="exact"/>
        <w:ind w:firstLine="608"/>
        <w:rPr>
          <w:rFonts w:ascii="Times New Roman" w:hAnsi="Times New Roman" w:eastAsia="仿宋_GB2312" w:cs="Times New Roman"/>
          <w:spacing w:val="-6"/>
          <w:sz w:val="32"/>
          <w:szCs w:val="32"/>
        </w:rPr>
      </w:pP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方享有依照本合同及采矿许可证规定的内容开采矿产资源并获得采出矿产品的权利，与采矿权相关联的其他资产，如土地使用权等，均不属于本合同出让范围。</w:t>
      </w:r>
    </w:p>
    <w:p w14:paraId="7155BC5B">
      <w:pPr>
        <w:spacing w:line="520" w:lineRule="exact"/>
        <w:ind w:firstLine="619" w:firstLineChars="200"/>
        <w:jc w:val="left"/>
        <w:rPr>
          <w:rFonts w:ascii="Times New Roman" w:hAnsi="Times New Roman" w:eastAsia="仿宋_GB2312" w:cs="Times New Roman"/>
          <w:sz w:val="32"/>
          <w:szCs w:val="32"/>
          <w:u w:val="none"/>
        </w:rPr>
      </w:pPr>
      <w:r>
        <w:rPr>
          <w:rFonts w:ascii="Times New Roman" w:hAnsi="Times New Roman" w:eastAsia="仿宋_GB2312" w:cs="Times New Roman"/>
          <w:b/>
          <w:spacing w:val="-6"/>
          <w:sz w:val="32"/>
          <w:szCs w:val="32"/>
        </w:rPr>
        <w:t>第三条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lang w:eastAsia="zh-CN"/>
        </w:rPr>
        <w:t>甲</w:t>
      </w:r>
      <w:r>
        <w:rPr>
          <w:rFonts w:ascii="Times New Roman" w:hAnsi="Times New Roman" w:eastAsia="仿宋_GB2312" w:cs="Times New Roman"/>
          <w:sz w:val="32"/>
          <w:szCs w:val="32"/>
        </w:rPr>
        <w:t>方出让给</w:t>
      </w:r>
      <w:r>
        <w:rPr>
          <w:rFonts w:hint="eastAsia" w:ascii="Times New Roman" w:hAnsi="Times New Roman" w:eastAsia="仿宋_GB2312" w:cs="Times New Roman"/>
          <w:sz w:val="32"/>
          <w:szCs w:val="32"/>
          <w:lang w:eastAsia="zh-CN"/>
        </w:rPr>
        <w:t>乙</w:t>
      </w:r>
      <w:r>
        <w:rPr>
          <w:rFonts w:ascii="Times New Roman" w:hAnsi="Times New Roman" w:eastAsia="仿宋_GB2312" w:cs="Times New Roman"/>
          <w:sz w:val="32"/>
          <w:szCs w:val="32"/>
        </w:rPr>
        <w:t>方的采矿权位于</w:t>
      </w:r>
      <w:r>
        <w:rPr>
          <w:rFonts w:hint="default" w:ascii="Times New Roman" w:hAnsi="Times New Roman" w:eastAsia="方正仿宋_GBK" w:cs="Times New Roman"/>
          <w:i w:val="0"/>
          <w:iCs w:val="0"/>
          <w:color w:val="auto"/>
          <w:sz w:val="32"/>
          <w:szCs w:val="32"/>
          <w:u w:val="none"/>
          <w:lang w:eastAsia="zh-CN"/>
        </w:rPr>
        <w:t>城口县</w:t>
      </w:r>
      <w:r>
        <w:rPr>
          <w:rFonts w:hint="eastAsia" w:ascii="Times New Roman" w:hAnsi="Times New Roman" w:eastAsia="方正仿宋_GBK" w:cs="Times New Roman"/>
          <w:i w:val="0"/>
          <w:iCs w:val="0"/>
          <w:color w:val="auto"/>
          <w:sz w:val="32"/>
          <w:szCs w:val="32"/>
          <w:u w:val="none"/>
          <w:lang w:eastAsia="zh-CN"/>
        </w:rPr>
        <w:t>庙坝</w:t>
      </w:r>
      <w:r>
        <w:rPr>
          <w:rFonts w:hint="default" w:ascii="Times New Roman" w:hAnsi="Times New Roman" w:eastAsia="方正仿宋_GBK" w:cs="Times New Roman"/>
          <w:i w:val="0"/>
          <w:iCs w:val="0"/>
          <w:color w:val="auto"/>
          <w:sz w:val="32"/>
          <w:szCs w:val="32"/>
          <w:u w:val="none"/>
          <w:lang w:eastAsia="zh-CN"/>
        </w:rPr>
        <w:t>镇</w:t>
      </w:r>
      <w:r>
        <w:rPr>
          <w:rFonts w:hint="eastAsia" w:ascii="Times New Roman" w:hAnsi="Times New Roman" w:eastAsia="方正仿宋_GBK" w:cs="Times New Roman"/>
          <w:i w:val="0"/>
          <w:iCs w:val="0"/>
          <w:color w:val="auto"/>
          <w:sz w:val="32"/>
          <w:szCs w:val="32"/>
          <w:u w:val="none"/>
          <w:lang w:eastAsia="zh-CN"/>
        </w:rPr>
        <w:t>香溪</w:t>
      </w:r>
      <w:r>
        <w:rPr>
          <w:rFonts w:hint="default" w:ascii="Times New Roman" w:hAnsi="Times New Roman" w:eastAsia="方正仿宋_GBK" w:cs="Times New Roman"/>
          <w:i w:val="0"/>
          <w:iCs w:val="0"/>
          <w:color w:val="auto"/>
          <w:sz w:val="32"/>
          <w:szCs w:val="32"/>
          <w:u w:val="none"/>
          <w:lang w:eastAsia="zh-CN"/>
        </w:rPr>
        <w:t>村</w:t>
      </w:r>
      <w:r>
        <w:rPr>
          <w:rFonts w:hint="eastAsia" w:ascii="Times New Roman" w:hAnsi="Times New Roman" w:eastAsia="方正仿宋_GBK" w:cs="Times New Roman"/>
          <w:i w:val="0"/>
          <w:iCs w:val="0"/>
          <w:color w:val="auto"/>
          <w:sz w:val="32"/>
          <w:szCs w:val="32"/>
          <w:u w:val="none"/>
          <w:lang w:val="en-US" w:eastAsia="zh-CN"/>
        </w:rPr>
        <w:t>2组</w:t>
      </w:r>
      <w:r>
        <w:rPr>
          <w:rFonts w:ascii="Times New Roman" w:hAnsi="Times New Roman" w:eastAsia="仿宋_GB2312" w:cs="Times New Roman"/>
          <w:spacing w:val="-6"/>
          <w:sz w:val="32"/>
          <w:szCs w:val="32"/>
          <w:u w:val="none"/>
        </w:rPr>
        <w:t>，矿山名称</w:t>
      </w:r>
      <w:r>
        <w:rPr>
          <w:rFonts w:hint="default" w:ascii="Times New Roman" w:hAnsi="Times New Roman" w:eastAsia="方正仿宋_GBK" w:cs="Times New Roman"/>
          <w:i w:val="0"/>
          <w:iCs w:val="0"/>
          <w:color w:val="auto"/>
          <w:sz w:val="32"/>
          <w:szCs w:val="32"/>
          <w:u w:val="none"/>
          <w:lang w:val="en-US" w:eastAsia="zh-CN"/>
        </w:rPr>
        <w:t>城口县</w:t>
      </w:r>
      <w:r>
        <w:rPr>
          <w:rFonts w:hint="eastAsia" w:ascii="Times New Roman" w:hAnsi="Times New Roman" w:eastAsia="方正仿宋_GBK" w:cs="Times New Roman"/>
          <w:i w:val="0"/>
          <w:iCs w:val="0"/>
          <w:color w:val="auto"/>
          <w:sz w:val="32"/>
          <w:szCs w:val="32"/>
          <w:u w:val="none"/>
          <w:lang w:val="en-US" w:eastAsia="zh-CN"/>
        </w:rPr>
        <w:t>庙坝</w:t>
      </w:r>
      <w:r>
        <w:rPr>
          <w:rFonts w:hint="default" w:ascii="Times New Roman" w:hAnsi="Times New Roman" w:eastAsia="方正仿宋_GBK" w:cs="Times New Roman"/>
          <w:i w:val="0"/>
          <w:iCs w:val="0"/>
          <w:color w:val="auto"/>
          <w:sz w:val="32"/>
          <w:szCs w:val="32"/>
          <w:u w:val="none"/>
          <w:lang w:val="en-US" w:eastAsia="zh-CN"/>
        </w:rPr>
        <w:t>镇</w:t>
      </w:r>
      <w:r>
        <w:rPr>
          <w:rFonts w:hint="eastAsia" w:ascii="Times New Roman" w:hAnsi="Times New Roman" w:eastAsia="方正仿宋_GBK" w:cs="Times New Roman"/>
          <w:i w:val="0"/>
          <w:iCs w:val="0"/>
          <w:color w:val="auto"/>
          <w:sz w:val="32"/>
          <w:szCs w:val="32"/>
          <w:u w:val="none"/>
          <w:lang w:val="en-US" w:eastAsia="zh-CN"/>
        </w:rPr>
        <w:t>九龙洞矿泉水（暂定名）</w:t>
      </w:r>
      <w:r>
        <w:rPr>
          <w:rFonts w:ascii="Times New Roman" w:hAnsi="Times New Roman" w:eastAsia="宋体" w:cs="Times New Roman"/>
          <w:kern w:val="0"/>
          <w:sz w:val="28"/>
          <w:szCs w:val="28"/>
          <w:u w:val="none"/>
        </w:rPr>
        <w:t>，</w:t>
      </w:r>
      <w:r>
        <w:rPr>
          <w:rFonts w:ascii="Times New Roman" w:hAnsi="Times New Roman" w:eastAsia="仿宋_GB2312" w:cs="Times New Roman"/>
          <w:spacing w:val="-6"/>
          <w:sz w:val="32"/>
          <w:szCs w:val="32"/>
          <w:u w:val="none"/>
        </w:rPr>
        <w:t>矿区面积</w:t>
      </w:r>
      <w:r>
        <w:rPr>
          <w:rFonts w:hint="default" w:ascii="Times New Roman" w:hAnsi="Times New Roman" w:eastAsia="方正仿宋_GBK" w:cs="Times New Roman"/>
          <w:i w:val="0"/>
          <w:iCs w:val="0"/>
          <w:color w:val="auto"/>
          <w:sz w:val="32"/>
          <w:szCs w:val="32"/>
          <w:u w:val="none"/>
          <w:lang w:eastAsia="zh-CN"/>
        </w:rPr>
        <w:t>0.0</w:t>
      </w:r>
      <w:r>
        <w:rPr>
          <w:rFonts w:hint="eastAsia" w:ascii="Times New Roman" w:hAnsi="Times New Roman" w:eastAsia="方正仿宋_GBK" w:cs="Times New Roman"/>
          <w:i w:val="0"/>
          <w:iCs w:val="0"/>
          <w:color w:val="auto"/>
          <w:sz w:val="32"/>
          <w:szCs w:val="32"/>
          <w:u w:val="none"/>
          <w:lang w:val="en-US" w:eastAsia="zh-CN"/>
        </w:rPr>
        <w:t>034</w:t>
      </w:r>
      <w:r>
        <w:rPr>
          <w:rFonts w:ascii="Times New Roman" w:hAnsi="Times New Roman" w:eastAsia="仿宋_GB2312" w:cs="Times New Roman"/>
          <w:spacing w:val="-6"/>
          <w:sz w:val="32"/>
          <w:szCs w:val="32"/>
          <w:u w:val="none"/>
        </w:rPr>
        <w:t>平方公里，</w:t>
      </w:r>
      <w:r>
        <w:rPr>
          <w:rFonts w:ascii="Times New Roman" w:hAnsi="Times New Roman" w:eastAsia="仿宋_GB2312" w:cs="Times New Roman"/>
          <w:sz w:val="32"/>
          <w:szCs w:val="32"/>
          <w:u w:val="none"/>
        </w:rPr>
        <w:t>矿种为</w:t>
      </w:r>
      <w:r>
        <w:rPr>
          <w:rFonts w:hint="eastAsia" w:ascii="Times New Roman" w:hAnsi="Times New Roman" w:eastAsia="方正仿宋_GBK" w:cs="Times New Roman"/>
          <w:i w:val="0"/>
          <w:iCs w:val="0"/>
          <w:color w:val="auto"/>
          <w:sz w:val="32"/>
          <w:szCs w:val="32"/>
          <w:u w:val="none"/>
          <w:lang w:eastAsia="zh-CN"/>
        </w:rPr>
        <w:t>矿泉水</w:t>
      </w:r>
      <w:r>
        <w:rPr>
          <w:rFonts w:ascii="Times New Roman" w:hAnsi="Times New Roman" w:eastAsia="仿宋_GB2312" w:cs="Times New Roman"/>
          <w:sz w:val="32"/>
          <w:szCs w:val="32"/>
          <w:u w:val="none"/>
        </w:rPr>
        <w:t>，资源储量</w:t>
      </w:r>
      <w:r>
        <w:rPr>
          <w:rFonts w:hint="eastAsia" w:ascii="Times New Roman" w:hAnsi="Times New Roman" w:eastAsia="方正仿宋_GBK" w:cs="Times New Roman"/>
          <w:i w:val="0"/>
          <w:iCs w:val="0"/>
          <w:color w:val="auto"/>
          <w:sz w:val="32"/>
          <w:szCs w:val="32"/>
          <w:u w:val="none"/>
          <w:lang w:val="en-US" w:eastAsia="zh-CN"/>
        </w:rPr>
        <w:t>50万</w:t>
      </w:r>
      <w:r>
        <w:rPr>
          <w:rFonts w:hint="eastAsia" w:ascii="Times New Roman" w:hAnsi="Times New Roman" w:eastAsia="仿宋_GB2312" w:cs="Times New Roman"/>
          <w:sz w:val="32"/>
          <w:szCs w:val="32"/>
          <w:u w:val="none"/>
          <w:lang w:eastAsia="zh-CN"/>
        </w:rPr>
        <w:t>立方米</w:t>
      </w:r>
      <w:r>
        <w:rPr>
          <w:rFonts w:hint="eastAsia" w:ascii="Times New Roman" w:hAnsi="Times New Roman" w:eastAsia="仿宋_GB2312" w:cs="Times New Roman"/>
          <w:sz w:val="32"/>
          <w:szCs w:val="32"/>
          <w:u w:val="none"/>
          <w:lang w:val="en-US" w:eastAsia="zh-CN"/>
        </w:rPr>
        <w:t>/年</w:t>
      </w:r>
      <w:r>
        <w:rPr>
          <w:rFonts w:ascii="Times New Roman" w:hAnsi="Times New Roman" w:eastAsia="仿宋_GB2312" w:cs="Times New Roman"/>
          <w:sz w:val="32"/>
          <w:szCs w:val="32"/>
          <w:u w:val="none"/>
        </w:rPr>
        <w:t>。矿区范围拐点坐标表如下（2000坐标系）：</w:t>
      </w:r>
    </w:p>
    <w:tbl>
      <w:tblPr>
        <w:tblStyle w:val="8"/>
        <w:tblW w:w="89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907"/>
        <w:gridCol w:w="1966"/>
        <w:gridCol w:w="776"/>
        <w:gridCol w:w="1744"/>
        <w:gridCol w:w="1743"/>
      </w:tblGrid>
      <w:tr w14:paraId="38B50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46" w:type="dxa"/>
            <w:tcBorders>
              <w:top w:val="single" w:color="auto" w:sz="4" w:space="0"/>
              <w:left w:val="single" w:color="auto" w:sz="4" w:space="0"/>
              <w:bottom w:val="single" w:color="auto" w:sz="4" w:space="0"/>
              <w:right w:val="single" w:color="auto" w:sz="4" w:space="0"/>
            </w:tcBorders>
            <w:vAlign w:val="center"/>
          </w:tcPr>
          <w:p w14:paraId="705216C1">
            <w:pPr>
              <w:spacing w:line="600" w:lineRule="exact"/>
              <w:jc w:val="center"/>
              <w:textAlignment w:val="center"/>
              <w:rPr>
                <w:rFonts w:ascii="Times New Roman" w:hAnsi="Times New Roman" w:cs="Times New Roman"/>
                <w:kern w:val="0"/>
                <w:sz w:val="28"/>
                <w:szCs w:val="28"/>
                <w:u w:val="none"/>
              </w:rPr>
            </w:pPr>
            <w:r>
              <w:rPr>
                <w:rFonts w:ascii="Times New Roman" w:hAnsi="Times New Roman" w:cs="Times New Roman"/>
                <w:kern w:val="0"/>
                <w:sz w:val="28"/>
                <w:szCs w:val="28"/>
                <w:u w:val="none"/>
              </w:rPr>
              <w:t>拐点</w:t>
            </w:r>
          </w:p>
        </w:tc>
        <w:tc>
          <w:tcPr>
            <w:tcW w:w="1907" w:type="dxa"/>
            <w:tcBorders>
              <w:top w:val="single" w:color="auto" w:sz="4" w:space="0"/>
              <w:left w:val="single" w:color="auto" w:sz="4" w:space="0"/>
              <w:bottom w:val="single" w:color="auto" w:sz="4" w:space="0"/>
              <w:right w:val="single" w:color="auto" w:sz="4" w:space="0"/>
            </w:tcBorders>
            <w:vAlign w:val="center"/>
          </w:tcPr>
          <w:p w14:paraId="4B7D846A">
            <w:pPr>
              <w:spacing w:line="600" w:lineRule="exact"/>
              <w:jc w:val="center"/>
              <w:textAlignment w:val="center"/>
              <w:rPr>
                <w:rFonts w:ascii="Times New Roman" w:hAnsi="Times New Roman" w:cs="Times New Roman"/>
                <w:kern w:val="0"/>
                <w:sz w:val="28"/>
                <w:szCs w:val="28"/>
                <w:u w:val="none"/>
              </w:rPr>
            </w:pPr>
            <w:r>
              <w:rPr>
                <w:rFonts w:ascii="Times New Roman" w:hAnsi="Times New Roman" w:cs="Times New Roman"/>
                <w:kern w:val="0"/>
                <w:sz w:val="28"/>
                <w:szCs w:val="28"/>
                <w:u w:val="none"/>
              </w:rPr>
              <w:t>X坐标</w:t>
            </w:r>
          </w:p>
        </w:tc>
        <w:tc>
          <w:tcPr>
            <w:tcW w:w="1966" w:type="dxa"/>
            <w:tcBorders>
              <w:top w:val="single" w:color="auto" w:sz="4" w:space="0"/>
              <w:left w:val="single" w:color="auto" w:sz="4" w:space="0"/>
              <w:bottom w:val="single" w:color="auto" w:sz="4" w:space="0"/>
              <w:right w:val="single" w:color="auto" w:sz="4" w:space="0"/>
            </w:tcBorders>
            <w:vAlign w:val="center"/>
          </w:tcPr>
          <w:p w14:paraId="4B23287A">
            <w:pPr>
              <w:spacing w:line="600" w:lineRule="exact"/>
              <w:jc w:val="center"/>
              <w:textAlignment w:val="center"/>
              <w:rPr>
                <w:rFonts w:ascii="Times New Roman" w:hAnsi="Times New Roman" w:cs="Times New Roman"/>
                <w:kern w:val="0"/>
                <w:sz w:val="28"/>
                <w:szCs w:val="28"/>
                <w:u w:val="none"/>
              </w:rPr>
            </w:pPr>
            <w:r>
              <w:rPr>
                <w:rFonts w:ascii="Times New Roman" w:hAnsi="Times New Roman" w:cs="Times New Roman"/>
                <w:kern w:val="0"/>
                <w:sz w:val="28"/>
                <w:szCs w:val="28"/>
                <w:u w:val="none"/>
              </w:rPr>
              <w:t>Y坐标</w:t>
            </w:r>
          </w:p>
        </w:tc>
        <w:tc>
          <w:tcPr>
            <w:tcW w:w="776" w:type="dxa"/>
            <w:tcBorders>
              <w:top w:val="single" w:color="auto" w:sz="4" w:space="0"/>
              <w:left w:val="single" w:color="auto" w:sz="4" w:space="0"/>
              <w:bottom w:val="single" w:color="auto" w:sz="4" w:space="0"/>
              <w:right w:val="single" w:color="auto" w:sz="4" w:space="0"/>
            </w:tcBorders>
            <w:vAlign w:val="center"/>
          </w:tcPr>
          <w:p w14:paraId="6FF977A5">
            <w:pPr>
              <w:spacing w:line="600" w:lineRule="exact"/>
              <w:jc w:val="center"/>
              <w:textAlignment w:val="center"/>
              <w:rPr>
                <w:rFonts w:ascii="Times New Roman" w:hAnsi="Times New Roman" w:cs="Times New Roman"/>
                <w:kern w:val="0"/>
                <w:sz w:val="28"/>
                <w:szCs w:val="28"/>
                <w:u w:val="none"/>
              </w:rPr>
            </w:pPr>
            <w:r>
              <w:rPr>
                <w:rFonts w:ascii="Times New Roman" w:hAnsi="Times New Roman" w:cs="Times New Roman"/>
                <w:kern w:val="0"/>
                <w:sz w:val="28"/>
                <w:szCs w:val="28"/>
                <w:u w:val="none"/>
              </w:rPr>
              <w:t>拐点</w:t>
            </w:r>
          </w:p>
        </w:tc>
        <w:tc>
          <w:tcPr>
            <w:tcW w:w="1744" w:type="dxa"/>
            <w:tcBorders>
              <w:top w:val="single" w:color="auto" w:sz="4" w:space="0"/>
              <w:left w:val="single" w:color="auto" w:sz="4" w:space="0"/>
              <w:bottom w:val="single" w:color="auto" w:sz="4" w:space="0"/>
              <w:right w:val="single" w:color="auto" w:sz="4" w:space="0"/>
            </w:tcBorders>
            <w:vAlign w:val="center"/>
          </w:tcPr>
          <w:p w14:paraId="39E3AA9F">
            <w:pPr>
              <w:spacing w:line="600" w:lineRule="exact"/>
              <w:jc w:val="center"/>
              <w:textAlignment w:val="center"/>
              <w:rPr>
                <w:rFonts w:ascii="Times New Roman" w:hAnsi="Times New Roman" w:cs="Times New Roman"/>
                <w:kern w:val="0"/>
                <w:sz w:val="28"/>
                <w:szCs w:val="28"/>
                <w:u w:val="none"/>
              </w:rPr>
            </w:pPr>
            <w:r>
              <w:rPr>
                <w:rFonts w:ascii="Times New Roman" w:hAnsi="Times New Roman" w:cs="Times New Roman"/>
                <w:kern w:val="0"/>
                <w:sz w:val="28"/>
                <w:szCs w:val="28"/>
                <w:u w:val="none"/>
              </w:rPr>
              <w:t>X坐标</w:t>
            </w:r>
          </w:p>
        </w:tc>
        <w:tc>
          <w:tcPr>
            <w:tcW w:w="1743" w:type="dxa"/>
            <w:tcBorders>
              <w:top w:val="single" w:color="auto" w:sz="4" w:space="0"/>
              <w:left w:val="single" w:color="auto" w:sz="4" w:space="0"/>
              <w:bottom w:val="single" w:color="auto" w:sz="4" w:space="0"/>
              <w:right w:val="single" w:color="auto" w:sz="4" w:space="0"/>
            </w:tcBorders>
            <w:vAlign w:val="center"/>
          </w:tcPr>
          <w:p w14:paraId="21E2CAEE">
            <w:pPr>
              <w:spacing w:line="600" w:lineRule="exact"/>
              <w:jc w:val="center"/>
              <w:textAlignment w:val="center"/>
              <w:rPr>
                <w:rFonts w:ascii="Times New Roman" w:hAnsi="Times New Roman" w:cs="Times New Roman"/>
                <w:kern w:val="0"/>
                <w:sz w:val="28"/>
                <w:szCs w:val="28"/>
                <w:u w:val="none"/>
              </w:rPr>
            </w:pPr>
            <w:r>
              <w:rPr>
                <w:rFonts w:ascii="Times New Roman" w:hAnsi="Times New Roman" w:cs="Times New Roman"/>
                <w:kern w:val="0"/>
                <w:sz w:val="28"/>
                <w:szCs w:val="28"/>
                <w:u w:val="none"/>
              </w:rPr>
              <w:t>Y坐标</w:t>
            </w:r>
          </w:p>
        </w:tc>
      </w:tr>
      <w:tr w14:paraId="47834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46" w:type="dxa"/>
            <w:tcBorders>
              <w:top w:val="single" w:color="auto" w:sz="4" w:space="0"/>
              <w:left w:val="single" w:color="auto" w:sz="4" w:space="0"/>
              <w:bottom w:val="single" w:color="auto" w:sz="4" w:space="0"/>
              <w:right w:val="single" w:color="auto" w:sz="4" w:space="0"/>
            </w:tcBorders>
            <w:vAlign w:val="center"/>
          </w:tcPr>
          <w:p w14:paraId="6E110D71">
            <w:pPr>
              <w:keepNext w:val="0"/>
              <w:keepLines w:val="0"/>
              <w:pageBreakBefore w:val="0"/>
              <w:widowControl w:val="0"/>
              <w:kinsoku/>
              <w:wordWrap/>
              <w:overflowPunct/>
              <w:topLinePunct w:val="0"/>
              <w:autoSpaceDE/>
              <w:autoSpaceDN/>
              <w:bidi w:val="0"/>
              <w:spacing w:line="400" w:lineRule="exact"/>
              <w:jc w:val="center"/>
              <w:textAlignment w:val="auto"/>
              <w:rPr>
                <w:rFonts w:ascii="Times New Roman" w:hAnsi="Times New Roman" w:cs="Times New Roman"/>
                <w:kern w:val="0"/>
                <w:sz w:val="28"/>
                <w:szCs w:val="28"/>
                <w:u w:val="none"/>
              </w:rPr>
            </w:pPr>
            <w:r>
              <w:rPr>
                <w:rFonts w:hint="default" w:ascii="Times New Roman" w:hAnsi="Times New Roman" w:eastAsia="方正仿宋_GBK" w:cs="Times New Roman"/>
                <w:i w:val="0"/>
                <w:iCs w:val="0"/>
                <w:color w:val="auto"/>
                <w:kern w:val="0"/>
                <w:sz w:val="28"/>
                <w:szCs w:val="28"/>
                <w:u w:val="none"/>
                <w:lang w:val="en-US" w:eastAsia="zh-CN"/>
              </w:rPr>
              <w:t>1</w:t>
            </w:r>
          </w:p>
        </w:tc>
        <w:tc>
          <w:tcPr>
            <w:tcW w:w="1907" w:type="dxa"/>
            <w:tcBorders>
              <w:top w:val="single" w:color="auto" w:sz="4" w:space="0"/>
              <w:left w:val="single" w:color="auto" w:sz="4" w:space="0"/>
              <w:bottom w:val="single" w:color="auto" w:sz="4" w:space="0"/>
              <w:right w:val="single" w:color="auto" w:sz="4" w:space="0"/>
            </w:tcBorders>
            <w:vAlign w:val="center"/>
          </w:tcPr>
          <w:p w14:paraId="194C67CC">
            <w:pPr>
              <w:widowControl/>
              <w:spacing w:line="360" w:lineRule="exact"/>
              <w:jc w:val="center"/>
              <w:textAlignment w:val="center"/>
              <w:rPr>
                <w:rFonts w:ascii="Times New Roman" w:hAnsi="Times New Roman" w:cs="Times New Roman"/>
                <w:kern w:val="0"/>
                <w:sz w:val="28"/>
                <w:szCs w:val="28"/>
                <w:u w:val="none"/>
              </w:rPr>
            </w:pPr>
            <w:r>
              <w:rPr>
                <w:rFonts w:hint="default" w:ascii="Times New Roman" w:hAnsi="Times New Roman" w:eastAsia="方正仿宋_GBK" w:cs="Times New Roman"/>
                <w:color w:val="262626" w:themeColor="text1" w:themeTint="D9"/>
                <w:sz w:val="28"/>
                <w:szCs w:val="28"/>
                <w:u w:val="none"/>
                <w14:textFill>
                  <w14:solidFill>
                    <w14:schemeClr w14:val="tx1">
                      <w14:lumMod w14:val="85000"/>
                      <w14:lumOff w14:val="15000"/>
                    </w14:schemeClr>
                  </w14:solidFill>
                </w14:textFill>
              </w:rPr>
              <w:t>3529948.64</w:t>
            </w:r>
          </w:p>
        </w:tc>
        <w:tc>
          <w:tcPr>
            <w:tcW w:w="1966" w:type="dxa"/>
            <w:tcBorders>
              <w:top w:val="single" w:color="auto" w:sz="4" w:space="0"/>
              <w:left w:val="single" w:color="auto" w:sz="4" w:space="0"/>
              <w:bottom w:val="single" w:color="auto" w:sz="4" w:space="0"/>
              <w:right w:val="single" w:color="auto" w:sz="4" w:space="0"/>
            </w:tcBorders>
            <w:vAlign w:val="center"/>
          </w:tcPr>
          <w:p w14:paraId="0380325B">
            <w:pPr>
              <w:widowControl/>
              <w:spacing w:line="360" w:lineRule="exact"/>
              <w:jc w:val="center"/>
              <w:textAlignment w:val="center"/>
              <w:rPr>
                <w:rFonts w:ascii="Times New Roman" w:hAnsi="Times New Roman" w:cs="Times New Roman"/>
                <w:kern w:val="0"/>
                <w:sz w:val="28"/>
                <w:szCs w:val="28"/>
                <w:u w:val="none"/>
              </w:rPr>
            </w:pPr>
            <w:r>
              <w:rPr>
                <w:rFonts w:hint="default" w:ascii="Times New Roman" w:hAnsi="Times New Roman" w:eastAsia="方正仿宋_GBK" w:cs="Times New Roman"/>
                <w:color w:val="262626" w:themeColor="text1" w:themeTint="D9"/>
                <w:sz w:val="28"/>
                <w:szCs w:val="28"/>
                <w:u w:val="none"/>
                <w14:textFill>
                  <w14:solidFill>
                    <w14:schemeClr w14:val="tx1">
                      <w14:lumMod w14:val="85000"/>
                      <w14:lumOff w14:val="15000"/>
                    </w14:schemeClr>
                  </w14:solidFill>
                </w14:textFill>
              </w:rPr>
              <w:t>36551583.01</w:t>
            </w:r>
          </w:p>
        </w:tc>
        <w:tc>
          <w:tcPr>
            <w:tcW w:w="776" w:type="dxa"/>
            <w:tcBorders>
              <w:top w:val="single" w:color="auto" w:sz="4" w:space="0"/>
              <w:left w:val="single" w:color="auto" w:sz="4" w:space="0"/>
              <w:bottom w:val="single" w:color="auto" w:sz="4" w:space="0"/>
              <w:right w:val="single" w:color="auto" w:sz="4" w:space="0"/>
            </w:tcBorders>
            <w:vAlign w:val="center"/>
          </w:tcPr>
          <w:p w14:paraId="20647D47">
            <w:pPr>
              <w:keepNext w:val="0"/>
              <w:keepLines w:val="0"/>
              <w:pageBreakBefore w:val="0"/>
              <w:widowControl w:val="0"/>
              <w:kinsoku/>
              <w:wordWrap/>
              <w:overflowPunct/>
              <w:topLinePunct w:val="0"/>
              <w:autoSpaceDE/>
              <w:autoSpaceDN/>
              <w:bidi w:val="0"/>
              <w:spacing w:line="400" w:lineRule="exact"/>
              <w:jc w:val="center"/>
              <w:textAlignment w:val="auto"/>
              <w:rPr>
                <w:rFonts w:ascii="Times New Roman" w:hAnsi="Times New Roman" w:cs="Times New Roman"/>
                <w:kern w:val="0"/>
                <w:sz w:val="28"/>
                <w:szCs w:val="28"/>
                <w:u w:val="none"/>
              </w:rPr>
            </w:pPr>
            <w:r>
              <w:rPr>
                <w:rFonts w:hint="default" w:ascii="Times New Roman" w:hAnsi="Times New Roman" w:eastAsia="方正仿宋_GBK" w:cs="Times New Roman"/>
                <w:i w:val="0"/>
                <w:iCs w:val="0"/>
                <w:color w:val="auto"/>
                <w:kern w:val="0"/>
                <w:sz w:val="28"/>
                <w:szCs w:val="28"/>
                <w:u w:val="none"/>
                <w:lang w:val="en-US" w:eastAsia="zh-CN"/>
              </w:rPr>
              <w:t>3</w:t>
            </w:r>
          </w:p>
        </w:tc>
        <w:tc>
          <w:tcPr>
            <w:tcW w:w="1744" w:type="dxa"/>
            <w:tcBorders>
              <w:top w:val="single" w:color="auto" w:sz="4" w:space="0"/>
              <w:left w:val="single" w:color="auto" w:sz="4" w:space="0"/>
              <w:bottom w:val="single" w:color="auto" w:sz="4" w:space="0"/>
              <w:right w:val="single" w:color="auto" w:sz="4" w:space="0"/>
            </w:tcBorders>
            <w:vAlign w:val="center"/>
          </w:tcPr>
          <w:p w14:paraId="28EE8210">
            <w:pPr>
              <w:widowControl/>
              <w:spacing w:line="360" w:lineRule="exact"/>
              <w:jc w:val="center"/>
              <w:textAlignment w:val="center"/>
              <w:rPr>
                <w:rFonts w:ascii="Times New Roman" w:hAnsi="Times New Roman" w:eastAsia="方正仿宋_GBK" w:cs="Times New Roman"/>
                <w:color w:val="000000"/>
                <w:kern w:val="0"/>
                <w:sz w:val="28"/>
                <w:szCs w:val="28"/>
                <w:u w:val="none"/>
                <w:lang w:bidi="ar"/>
              </w:rPr>
            </w:pPr>
            <w:r>
              <w:rPr>
                <w:rFonts w:hint="default" w:ascii="Times New Roman" w:hAnsi="Times New Roman" w:eastAsia="方正仿宋_GBK" w:cs="Times New Roman"/>
                <w:color w:val="262626" w:themeColor="text1" w:themeTint="D9"/>
                <w:sz w:val="28"/>
                <w:szCs w:val="28"/>
                <w:u w:val="none"/>
                <w14:textFill>
                  <w14:solidFill>
                    <w14:schemeClr w14:val="tx1">
                      <w14:lumMod w14:val="85000"/>
                      <w14:lumOff w14:val="15000"/>
                    </w14:schemeClr>
                  </w14:solidFill>
                </w14:textFill>
              </w:rPr>
              <w:t>3530000.30</w:t>
            </w:r>
          </w:p>
        </w:tc>
        <w:tc>
          <w:tcPr>
            <w:tcW w:w="1743" w:type="dxa"/>
            <w:tcBorders>
              <w:top w:val="single" w:color="auto" w:sz="4" w:space="0"/>
              <w:left w:val="single" w:color="auto" w:sz="4" w:space="0"/>
              <w:bottom w:val="single" w:color="auto" w:sz="4" w:space="0"/>
              <w:right w:val="single" w:color="auto" w:sz="4" w:space="0"/>
            </w:tcBorders>
            <w:vAlign w:val="center"/>
          </w:tcPr>
          <w:p w14:paraId="47FB01D9">
            <w:pPr>
              <w:widowControl/>
              <w:spacing w:line="360" w:lineRule="exact"/>
              <w:jc w:val="center"/>
              <w:textAlignment w:val="center"/>
              <w:rPr>
                <w:rFonts w:ascii="Times New Roman" w:hAnsi="Times New Roman" w:eastAsia="方正仿宋_GBK" w:cs="Times New Roman"/>
                <w:color w:val="000000"/>
                <w:kern w:val="0"/>
                <w:sz w:val="28"/>
                <w:szCs w:val="28"/>
                <w:u w:val="none"/>
                <w:lang w:bidi="ar"/>
              </w:rPr>
            </w:pPr>
            <w:r>
              <w:rPr>
                <w:rFonts w:hint="default" w:ascii="Times New Roman" w:hAnsi="Times New Roman" w:eastAsia="方正仿宋_GBK" w:cs="Times New Roman"/>
                <w:color w:val="262626" w:themeColor="text1" w:themeTint="D9"/>
                <w:sz w:val="28"/>
                <w:szCs w:val="28"/>
                <w:u w:val="none"/>
                <w14:textFill>
                  <w14:solidFill>
                    <w14:schemeClr w14:val="tx1">
                      <w14:lumMod w14:val="85000"/>
                      <w14:lumOff w14:val="15000"/>
                    </w14:schemeClr>
                  </w14:solidFill>
                </w14:textFill>
              </w:rPr>
              <w:t>36551502.09</w:t>
            </w:r>
          </w:p>
        </w:tc>
      </w:tr>
      <w:tr w14:paraId="657B4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exact"/>
          <w:jc w:val="center"/>
        </w:trPr>
        <w:tc>
          <w:tcPr>
            <w:tcW w:w="846" w:type="dxa"/>
            <w:tcBorders>
              <w:top w:val="single" w:color="auto" w:sz="4" w:space="0"/>
              <w:left w:val="single" w:color="auto" w:sz="4" w:space="0"/>
              <w:bottom w:val="single" w:color="auto" w:sz="4" w:space="0"/>
              <w:right w:val="single" w:color="auto" w:sz="4" w:space="0"/>
            </w:tcBorders>
            <w:vAlign w:val="center"/>
          </w:tcPr>
          <w:p w14:paraId="44C9D2F3">
            <w:pPr>
              <w:keepNext w:val="0"/>
              <w:keepLines w:val="0"/>
              <w:pageBreakBefore w:val="0"/>
              <w:widowControl w:val="0"/>
              <w:kinsoku/>
              <w:wordWrap/>
              <w:overflowPunct/>
              <w:topLinePunct w:val="0"/>
              <w:autoSpaceDE/>
              <w:autoSpaceDN/>
              <w:bidi w:val="0"/>
              <w:spacing w:line="400" w:lineRule="exact"/>
              <w:jc w:val="center"/>
              <w:textAlignment w:val="auto"/>
              <w:rPr>
                <w:rFonts w:ascii="Times New Roman" w:hAnsi="Times New Roman" w:cs="Times New Roman"/>
                <w:kern w:val="0"/>
                <w:sz w:val="28"/>
                <w:szCs w:val="28"/>
                <w:u w:val="none"/>
              </w:rPr>
            </w:pPr>
            <w:r>
              <w:rPr>
                <w:rFonts w:hint="default" w:ascii="Times New Roman" w:hAnsi="Times New Roman" w:eastAsia="方正仿宋_GBK" w:cs="Times New Roman"/>
                <w:i w:val="0"/>
                <w:iCs w:val="0"/>
                <w:color w:val="auto"/>
                <w:kern w:val="0"/>
                <w:sz w:val="28"/>
                <w:szCs w:val="28"/>
                <w:u w:val="none"/>
                <w:lang w:val="en-US" w:eastAsia="zh-CN"/>
              </w:rPr>
              <w:t>2</w:t>
            </w:r>
          </w:p>
        </w:tc>
        <w:tc>
          <w:tcPr>
            <w:tcW w:w="1907" w:type="dxa"/>
            <w:tcBorders>
              <w:top w:val="single" w:color="auto" w:sz="4" w:space="0"/>
              <w:left w:val="single" w:color="auto" w:sz="4" w:space="0"/>
              <w:bottom w:val="single" w:color="auto" w:sz="4" w:space="0"/>
              <w:right w:val="single" w:color="auto" w:sz="4" w:space="0"/>
            </w:tcBorders>
            <w:vAlign w:val="center"/>
          </w:tcPr>
          <w:p w14:paraId="0915452B">
            <w:pPr>
              <w:widowControl/>
              <w:spacing w:line="360" w:lineRule="exact"/>
              <w:jc w:val="center"/>
              <w:textAlignment w:val="center"/>
              <w:rPr>
                <w:rFonts w:ascii="Times New Roman" w:hAnsi="Times New Roman" w:cs="Times New Roman"/>
                <w:kern w:val="0"/>
                <w:sz w:val="28"/>
                <w:szCs w:val="28"/>
                <w:u w:val="none"/>
              </w:rPr>
            </w:pPr>
            <w:r>
              <w:rPr>
                <w:rFonts w:hint="default" w:ascii="Times New Roman" w:hAnsi="Times New Roman" w:eastAsia="方正仿宋_GBK" w:cs="Times New Roman"/>
                <w:color w:val="262626" w:themeColor="text1" w:themeTint="D9"/>
                <w:sz w:val="28"/>
                <w:szCs w:val="28"/>
                <w:u w:val="none"/>
                <w14:textFill>
                  <w14:solidFill>
                    <w14:schemeClr w14:val="tx1">
                      <w14:lumMod w14:val="85000"/>
                      <w14:lumOff w14:val="15000"/>
                    </w14:schemeClr>
                  </w14:solidFill>
                </w14:textFill>
              </w:rPr>
              <w:t>3529924.16</w:t>
            </w:r>
          </w:p>
        </w:tc>
        <w:tc>
          <w:tcPr>
            <w:tcW w:w="1966" w:type="dxa"/>
            <w:tcBorders>
              <w:top w:val="single" w:color="auto" w:sz="4" w:space="0"/>
              <w:left w:val="single" w:color="auto" w:sz="4" w:space="0"/>
              <w:bottom w:val="single" w:color="auto" w:sz="4" w:space="0"/>
              <w:right w:val="single" w:color="auto" w:sz="4" w:space="0"/>
            </w:tcBorders>
            <w:vAlign w:val="center"/>
          </w:tcPr>
          <w:p w14:paraId="6055D612">
            <w:pPr>
              <w:widowControl/>
              <w:spacing w:line="360" w:lineRule="exact"/>
              <w:jc w:val="center"/>
              <w:textAlignment w:val="center"/>
              <w:rPr>
                <w:rFonts w:ascii="Times New Roman" w:hAnsi="Times New Roman" w:cs="Times New Roman"/>
                <w:kern w:val="0"/>
                <w:sz w:val="28"/>
                <w:szCs w:val="28"/>
                <w:u w:val="none"/>
              </w:rPr>
            </w:pPr>
            <w:r>
              <w:rPr>
                <w:rFonts w:hint="default" w:ascii="Times New Roman" w:hAnsi="Times New Roman" w:eastAsia="方正仿宋_GBK" w:cs="Times New Roman"/>
                <w:color w:val="262626" w:themeColor="text1" w:themeTint="D9"/>
                <w:sz w:val="28"/>
                <w:szCs w:val="28"/>
                <w:u w:val="none"/>
                <w14:textFill>
                  <w14:solidFill>
                    <w14:schemeClr w14:val="tx1">
                      <w14:lumMod w14:val="85000"/>
                      <w14:lumOff w14:val="15000"/>
                    </w14:schemeClr>
                  </w14:solidFill>
                </w14:textFill>
              </w:rPr>
              <w:t>36551559.72</w:t>
            </w:r>
          </w:p>
        </w:tc>
        <w:tc>
          <w:tcPr>
            <w:tcW w:w="776" w:type="dxa"/>
            <w:tcBorders>
              <w:top w:val="single" w:color="auto" w:sz="4" w:space="0"/>
              <w:left w:val="single" w:color="auto" w:sz="4" w:space="0"/>
              <w:bottom w:val="single" w:color="auto" w:sz="4" w:space="0"/>
              <w:right w:val="single" w:color="auto" w:sz="4" w:space="0"/>
            </w:tcBorders>
            <w:vAlign w:val="center"/>
          </w:tcPr>
          <w:p w14:paraId="3250F179">
            <w:pPr>
              <w:keepNext w:val="0"/>
              <w:keepLines w:val="0"/>
              <w:pageBreakBefore w:val="0"/>
              <w:widowControl w:val="0"/>
              <w:kinsoku/>
              <w:wordWrap/>
              <w:overflowPunct/>
              <w:topLinePunct w:val="0"/>
              <w:autoSpaceDE/>
              <w:autoSpaceDN/>
              <w:bidi w:val="0"/>
              <w:spacing w:line="400" w:lineRule="exact"/>
              <w:jc w:val="center"/>
              <w:textAlignment w:val="auto"/>
              <w:rPr>
                <w:rFonts w:ascii="Times New Roman" w:hAnsi="Times New Roman" w:cs="Times New Roman"/>
                <w:kern w:val="0"/>
                <w:sz w:val="28"/>
                <w:szCs w:val="28"/>
                <w:u w:val="none"/>
              </w:rPr>
            </w:pPr>
            <w:r>
              <w:rPr>
                <w:rFonts w:hint="default" w:ascii="Times New Roman" w:hAnsi="Times New Roman" w:eastAsia="方正仿宋_GBK" w:cs="Times New Roman"/>
                <w:i w:val="0"/>
                <w:iCs w:val="0"/>
                <w:color w:val="auto"/>
                <w:kern w:val="0"/>
                <w:sz w:val="28"/>
                <w:szCs w:val="28"/>
                <w:u w:val="none"/>
                <w:lang w:val="en-US" w:eastAsia="zh-CN"/>
              </w:rPr>
              <w:t>4</w:t>
            </w:r>
          </w:p>
        </w:tc>
        <w:tc>
          <w:tcPr>
            <w:tcW w:w="1744" w:type="dxa"/>
            <w:tcBorders>
              <w:top w:val="single" w:color="auto" w:sz="4" w:space="0"/>
              <w:left w:val="single" w:color="auto" w:sz="4" w:space="0"/>
              <w:bottom w:val="single" w:color="auto" w:sz="4" w:space="0"/>
              <w:right w:val="single" w:color="auto" w:sz="4" w:space="0"/>
            </w:tcBorders>
            <w:vAlign w:val="center"/>
          </w:tcPr>
          <w:p w14:paraId="3EF9DE3C">
            <w:pPr>
              <w:widowControl/>
              <w:spacing w:line="360" w:lineRule="exact"/>
              <w:jc w:val="center"/>
              <w:textAlignment w:val="center"/>
              <w:rPr>
                <w:rFonts w:ascii="Times New Roman" w:hAnsi="Times New Roman" w:cs="Times New Roman"/>
                <w:kern w:val="0"/>
                <w:sz w:val="28"/>
                <w:szCs w:val="28"/>
                <w:u w:val="none"/>
              </w:rPr>
            </w:pPr>
            <w:r>
              <w:rPr>
                <w:rFonts w:hint="default" w:ascii="Times New Roman" w:hAnsi="Times New Roman" w:eastAsia="方正仿宋_GBK" w:cs="Times New Roman"/>
                <w:color w:val="262626" w:themeColor="text1" w:themeTint="D9"/>
                <w:sz w:val="28"/>
                <w:szCs w:val="28"/>
                <w:u w:val="none"/>
                <w14:textFill>
                  <w14:solidFill>
                    <w14:schemeClr w14:val="tx1">
                      <w14:lumMod w14:val="85000"/>
                      <w14:lumOff w14:val="15000"/>
                    </w14:schemeClr>
                  </w14:solidFill>
                </w14:textFill>
              </w:rPr>
              <w:t>3530024.48</w:t>
            </w:r>
          </w:p>
        </w:tc>
        <w:tc>
          <w:tcPr>
            <w:tcW w:w="1743" w:type="dxa"/>
            <w:tcBorders>
              <w:top w:val="single" w:color="auto" w:sz="4" w:space="0"/>
              <w:left w:val="single" w:color="auto" w:sz="4" w:space="0"/>
              <w:bottom w:val="single" w:color="auto" w:sz="4" w:space="0"/>
              <w:right w:val="single" w:color="auto" w:sz="4" w:space="0"/>
            </w:tcBorders>
            <w:vAlign w:val="center"/>
          </w:tcPr>
          <w:p w14:paraId="06F8EFC9">
            <w:pPr>
              <w:widowControl/>
              <w:spacing w:line="360" w:lineRule="exact"/>
              <w:jc w:val="center"/>
              <w:textAlignment w:val="center"/>
              <w:rPr>
                <w:rFonts w:ascii="Times New Roman" w:hAnsi="Times New Roman" w:cs="Times New Roman"/>
                <w:kern w:val="0"/>
                <w:sz w:val="28"/>
                <w:szCs w:val="28"/>
                <w:u w:val="none"/>
              </w:rPr>
            </w:pPr>
            <w:r>
              <w:rPr>
                <w:rFonts w:hint="default" w:ascii="Times New Roman" w:hAnsi="Times New Roman" w:eastAsia="方正仿宋_GBK" w:cs="Times New Roman"/>
                <w:color w:val="262626" w:themeColor="text1" w:themeTint="D9"/>
                <w:sz w:val="28"/>
                <w:szCs w:val="28"/>
                <w:u w:val="none"/>
                <w14:textFill>
                  <w14:solidFill>
                    <w14:schemeClr w14:val="tx1">
                      <w14:lumMod w14:val="85000"/>
                      <w14:lumOff w14:val="15000"/>
                    </w14:schemeClr>
                  </w14:solidFill>
                </w14:textFill>
              </w:rPr>
              <w:t>36551534.34</w:t>
            </w:r>
          </w:p>
        </w:tc>
      </w:tr>
      <w:tr w14:paraId="00344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982" w:type="dxa"/>
            <w:gridSpan w:val="6"/>
            <w:tcBorders>
              <w:top w:val="single" w:color="auto" w:sz="4" w:space="0"/>
              <w:left w:val="single" w:color="auto" w:sz="4" w:space="0"/>
              <w:bottom w:val="single" w:color="auto" w:sz="4" w:space="0"/>
              <w:right w:val="single" w:color="auto" w:sz="4" w:space="0"/>
            </w:tcBorders>
            <w:vAlign w:val="center"/>
          </w:tcPr>
          <w:p w14:paraId="3015F8F3">
            <w:pPr>
              <w:spacing w:line="600" w:lineRule="exact"/>
              <w:jc w:val="center"/>
              <w:textAlignment w:val="center"/>
              <w:rPr>
                <w:rFonts w:ascii="Times New Roman" w:hAnsi="Times New Roman" w:cs="Times New Roman"/>
                <w:kern w:val="0"/>
                <w:szCs w:val="21"/>
                <w:u w:val="none"/>
              </w:rPr>
            </w:pPr>
            <w:r>
              <w:rPr>
                <w:rFonts w:ascii="Times New Roman" w:hAnsi="Times New Roman" w:cs="Times New Roman"/>
                <w:kern w:val="0"/>
                <w:sz w:val="28"/>
                <w:szCs w:val="28"/>
                <w:u w:val="none"/>
              </w:rPr>
              <w:t>标高：</w:t>
            </w:r>
            <w:r>
              <w:rPr>
                <w:rFonts w:hint="default" w:ascii="Times New Roman" w:hAnsi="Times New Roman" w:eastAsia="方正仿宋_GBK" w:cs="Times New Roman"/>
                <w:i w:val="0"/>
                <w:iCs w:val="0"/>
                <w:color w:val="auto"/>
                <w:sz w:val="32"/>
                <w:szCs w:val="32"/>
                <w:u w:val="none"/>
                <w:lang w:val="en-US" w:eastAsia="zh-CN"/>
              </w:rPr>
              <w:t>+</w:t>
            </w:r>
            <w:r>
              <w:rPr>
                <w:rFonts w:hint="eastAsia" w:ascii="Times New Roman" w:hAnsi="Times New Roman" w:eastAsia="方正仿宋_GBK" w:cs="Times New Roman"/>
                <w:i w:val="0"/>
                <w:iCs w:val="0"/>
                <w:color w:val="auto"/>
                <w:sz w:val="32"/>
                <w:szCs w:val="32"/>
                <w:u w:val="none"/>
                <w:lang w:val="en-US" w:eastAsia="zh-CN"/>
              </w:rPr>
              <w:t>910</w:t>
            </w:r>
            <w:r>
              <w:rPr>
                <w:rFonts w:ascii="Times New Roman" w:hAnsi="Times New Roman" w:cs="Times New Roman"/>
                <w:kern w:val="0"/>
                <w:sz w:val="28"/>
                <w:szCs w:val="28"/>
                <w:u w:val="none"/>
              </w:rPr>
              <w:t>米至</w:t>
            </w:r>
            <w:r>
              <w:rPr>
                <w:rFonts w:hint="default" w:ascii="Times New Roman" w:hAnsi="Times New Roman" w:eastAsia="方正仿宋_GBK" w:cs="Times New Roman"/>
                <w:i w:val="0"/>
                <w:iCs w:val="0"/>
                <w:color w:val="auto"/>
                <w:sz w:val="32"/>
                <w:szCs w:val="32"/>
                <w:u w:val="none"/>
                <w:lang w:val="en-US" w:eastAsia="zh-CN"/>
              </w:rPr>
              <w:t>+8</w:t>
            </w:r>
            <w:r>
              <w:rPr>
                <w:rFonts w:hint="eastAsia" w:ascii="Times New Roman" w:hAnsi="Times New Roman" w:eastAsia="方正仿宋_GBK" w:cs="Times New Roman"/>
                <w:i w:val="0"/>
                <w:iCs w:val="0"/>
                <w:color w:val="auto"/>
                <w:sz w:val="32"/>
                <w:szCs w:val="32"/>
                <w:u w:val="none"/>
                <w:lang w:val="en-US" w:eastAsia="zh-CN"/>
              </w:rPr>
              <w:t>0</w:t>
            </w:r>
            <w:r>
              <w:rPr>
                <w:rFonts w:hint="default" w:ascii="Times New Roman" w:hAnsi="Times New Roman" w:eastAsia="方正仿宋_GBK" w:cs="Times New Roman"/>
                <w:i w:val="0"/>
                <w:iCs w:val="0"/>
                <w:color w:val="auto"/>
                <w:sz w:val="32"/>
                <w:szCs w:val="32"/>
                <w:u w:val="none"/>
                <w:lang w:val="en-US" w:eastAsia="zh-CN"/>
              </w:rPr>
              <w:t>0</w:t>
            </w:r>
            <w:r>
              <w:rPr>
                <w:rFonts w:ascii="Times New Roman" w:hAnsi="Times New Roman" w:cs="Times New Roman"/>
                <w:kern w:val="0"/>
                <w:sz w:val="28"/>
                <w:szCs w:val="28"/>
                <w:u w:val="none"/>
              </w:rPr>
              <w:t>米</w:t>
            </w:r>
          </w:p>
        </w:tc>
      </w:tr>
    </w:tbl>
    <w:p w14:paraId="05FF34D1">
      <w:pPr>
        <w:spacing w:line="520" w:lineRule="exact"/>
        <w:ind w:left="210" w:leftChars="100" w:firstLine="309" w:firstLineChars="100"/>
        <w:jc w:val="left"/>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第四条  </w:t>
      </w:r>
      <w:r>
        <w:rPr>
          <w:rFonts w:ascii="Times New Roman" w:hAnsi="Times New Roman" w:eastAsia="仿宋_GB2312" w:cs="Times New Roman"/>
          <w:spacing w:val="-6"/>
          <w:sz w:val="32"/>
          <w:szCs w:val="32"/>
        </w:rPr>
        <w:t>本合同约定的采矿权出让年限为</w:t>
      </w:r>
      <w:r>
        <w:rPr>
          <w:rFonts w:hint="eastAsia" w:ascii="Times New Roman" w:hAnsi="Times New Roman" w:eastAsia="方正仿宋_GBK" w:cs="Times New Roman"/>
          <w:i w:val="0"/>
          <w:iCs w:val="0"/>
          <w:color w:val="auto"/>
          <w:sz w:val="32"/>
          <w:szCs w:val="32"/>
          <w:u w:val="single"/>
          <w:lang w:val="en-US" w:eastAsia="zh-CN"/>
        </w:rPr>
        <w:t>20年</w:t>
      </w:r>
      <w:r>
        <w:rPr>
          <w:rFonts w:ascii="Times New Roman" w:hAnsi="Times New Roman" w:eastAsia="仿宋_GB2312" w:cs="Times New Roman"/>
          <w:spacing w:val="-6"/>
          <w:sz w:val="32"/>
          <w:szCs w:val="32"/>
        </w:rPr>
        <w:t>，</w:t>
      </w:r>
      <w:r>
        <w:rPr>
          <w:rFonts w:hint="default" w:ascii="Times New Roman" w:hAnsi="Times New Roman" w:eastAsia="方正仿宋_GBK" w:cs="Times New Roman"/>
          <w:i w:val="0"/>
          <w:iCs w:val="0"/>
          <w:color w:val="auto"/>
          <w:spacing w:val="-6"/>
          <w:sz w:val="32"/>
          <w:szCs w:val="32"/>
          <w:lang w:val="en-US" w:eastAsia="zh-CN"/>
        </w:rPr>
        <w:t>出让起始时间以采矿许可证实际记载时间为准</w:t>
      </w:r>
      <w:r>
        <w:rPr>
          <w:rFonts w:hint="default" w:ascii="Times New Roman" w:hAnsi="Times New Roman" w:eastAsia="方正仿宋_GBK" w:cs="Times New Roman"/>
          <w:i w:val="0"/>
          <w:iCs w:val="0"/>
          <w:color w:val="auto"/>
          <w:spacing w:val="-6"/>
          <w:sz w:val="32"/>
          <w:szCs w:val="32"/>
        </w:rPr>
        <w:t>。</w:t>
      </w:r>
    </w:p>
    <w:p w14:paraId="180A2F9B">
      <w:pPr>
        <w:spacing w:line="520" w:lineRule="exact"/>
        <w:ind w:firstLine="619" w:firstLineChars="200"/>
        <w:jc w:val="left"/>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第五条  </w:t>
      </w:r>
      <w:r>
        <w:rPr>
          <w:rFonts w:ascii="Times New Roman" w:hAnsi="Times New Roman" w:eastAsia="仿宋_GB2312" w:cs="Times New Roman"/>
          <w:spacing w:val="-6"/>
          <w:sz w:val="32"/>
          <w:szCs w:val="32"/>
        </w:rPr>
        <w:t>采矿权出让收益</w:t>
      </w:r>
    </w:p>
    <w:p w14:paraId="77D4C00B">
      <w:pPr>
        <w:spacing w:line="520" w:lineRule="exact"/>
        <w:ind w:firstLine="619" w:firstLineChars="200"/>
        <w:jc w:val="left"/>
        <w:rPr>
          <w:rFonts w:ascii="Times New Roman" w:hAnsi="Times New Roman" w:eastAsia="仿宋_GB2312" w:cs="Times New Roman"/>
          <w:b/>
          <w:spacing w:val="-6"/>
          <w:sz w:val="32"/>
          <w:szCs w:val="32"/>
        </w:rPr>
      </w:pPr>
      <w:r>
        <w:rPr>
          <w:rFonts w:ascii="Times New Roman" w:hAnsi="Times New Roman" w:eastAsia="仿宋_GB2312" w:cs="Times New Roman"/>
          <w:b/>
          <w:spacing w:val="-6"/>
          <w:sz w:val="32"/>
          <w:szCs w:val="32"/>
        </w:rPr>
        <w:t>通过出让金额的形式征收</w:t>
      </w:r>
    </w:p>
    <w:p w14:paraId="3440FE90">
      <w:pPr>
        <w:spacing w:line="520" w:lineRule="exact"/>
        <w:ind w:firstLine="616" w:firstLineChars="200"/>
        <w:jc w:val="left"/>
        <w:rPr>
          <w:rFonts w:ascii="Times New Roman" w:hAnsi="Times New Roman" w:eastAsia="仿宋_GB2312" w:cs="Times New Roman"/>
          <w:sz w:val="32"/>
          <w:szCs w:val="32"/>
        </w:rPr>
      </w:pPr>
      <w:r>
        <w:rPr>
          <w:rFonts w:ascii="Times New Roman" w:hAnsi="Times New Roman" w:eastAsia="仿宋_GB2312" w:cs="Times New Roman"/>
          <w:spacing w:val="-6"/>
          <w:sz w:val="32"/>
          <w:szCs w:val="32"/>
        </w:rPr>
        <w:t>（一）采矿权出让收益为</w:t>
      </w:r>
      <w:r>
        <w:rPr>
          <w:rFonts w:ascii="Times New Roman" w:hAnsi="Times New Roman" w:eastAsia="仿宋_GB2312" w:cs="Times New Roman"/>
          <w:sz w:val="32"/>
          <w:szCs w:val="32"/>
        </w:rPr>
        <w:t>人民币</w:t>
      </w:r>
      <w:r>
        <w:rPr>
          <w:rFonts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u w:val="single"/>
          <w:lang w:val="en-US" w:eastAsia="zh-CN"/>
        </w:rPr>
        <w:t>/</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z w:val="32"/>
          <w:szCs w:val="32"/>
          <w:u w:val="single"/>
        </w:rPr>
        <w:t>（</w:t>
      </w:r>
      <w:r>
        <w:rPr>
          <w:rFonts w:ascii="Times New Roman" w:hAnsi="Times New Roman" w:eastAsia="仿宋_GB2312" w:cs="Times New Roman"/>
          <w:sz w:val="32"/>
          <w:szCs w:val="32"/>
        </w:rPr>
        <w:t>大写）（￥：</w:t>
      </w:r>
      <w:r>
        <w:rPr>
          <w:rFonts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lang w:val="en-US" w:eastAsia="zh-CN"/>
        </w:rPr>
        <w:t>/</w:t>
      </w:r>
      <w:r>
        <w:rPr>
          <w:rFonts w:ascii="Times New Roman" w:hAnsi="Times New Roman" w:eastAsia="仿宋_GB2312" w:cs="Times New Roman"/>
          <w:sz w:val="32"/>
          <w:szCs w:val="32"/>
          <w:u w:val="single"/>
        </w:rPr>
        <w:t xml:space="preserve">  元</w:t>
      </w:r>
      <w:r>
        <w:rPr>
          <w:rFonts w:ascii="Times New Roman" w:hAnsi="Times New Roman" w:eastAsia="仿宋_GB2312" w:cs="Times New Roman"/>
          <w:sz w:val="32"/>
          <w:szCs w:val="32"/>
        </w:rPr>
        <w:t>）。</w:t>
      </w:r>
    </w:p>
    <w:p w14:paraId="5C0DFFB7">
      <w:pPr>
        <w:spacing w:line="520" w:lineRule="exact"/>
        <w:ind w:firstLine="616" w:firstLineChars="200"/>
        <w:jc w:val="left"/>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（二）采矿权出让收益按下列第</w:t>
      </w:r>
      <w:r>
        <w:rPr>
          <w:rFonts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u w:val="single"/>
          <w:lang w:val="en-US" w:eastAsia="zh-CN"/>
        </w:rPr>
        <w:t>/</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pacing w:val="-6"/>
          <w:sz w:val="32"/>
          <w:szCs w:val="32"/>
        </w:rPr>
        <w:t>种方式缴纳，缴款时间以缴款通知书或合同约定为准。</w:t>
      </w:r>
    </w:p>
    <w:p w14:paraId="72190532">
      <w:pPr>
        <w:spacing w:line="520" w:lineRule="exact"/>
        <w:ind w:firstLine="612" w:firstLineChars="199"/>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1、一次性缴纳。</w:t>
      </w:r>
    </w:p>
    <w:p w14:paraId="0D0035A0">
      <w:pPr>
        <w:spacing w:line="520" w:lineRule="exact"/>
        <w:ind w:firstLine="612" w:firstLineChars="199"/>
        <w:rPr>
          <w:rFonts w:hint="eastAsia" w:ascii="Times New Roman" w:hAnsi="Times New Roman" w:eastAsia="仿宋_GB2312" w:cs="Times New Roman"/>
          <w:sz w:val="32"/>
          <w:szCs w:val="32"/>
          <w:lang w:val="en-US" w:eastAsia="zh-CN"/>
        </w:rPr>
      </w:pPr>
      <w:r>
        <w:rPr>
          <w:rFonts w:ascii="Times New Roman" w:hAnsi="Times New Roman" w:eastAsia="仿宋_GB2312" w:cs="Times New Roman"/>
          <w:spacing w:val="-6"/>
          <w:sz w:val="32"/>
          <w:szCs w:val="32"/>
        </w:rPr>
        <w:t>2、分期缴纳。</w:t>
      </w:r>
      <w:r>
        <w:rPr>
          <w:rFonts w:ascii="Times New Roman" w:hAnsi="Times New Roman" w:eastAsia="仿宋_GB2312" w:cs="Times New Roman"/>
          <w:sz w:val="32"/>
          <w:szCs w:val="32"/>
        </w:rPr>
        <w:t>首次缴纳人民币</w:t>
      </w:r>
      <w:r>
        <w:rPr>
          <w:rFonts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u w:val="single"/>
          <w:lang w:val="en-US" w:eastAsia="zh-CN"/>
        </w:rPr>
        <w:t>/</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z w:val="32"/>
          <w:szCs w:val="32"/>
          <w:u w:val="single"/>
        </w:rPr>
        <w:t>（</w:t>
      </w:r>
      <w:r>
        <w:rPr>
          <w:rFonts w:ascii="Times New Roman" w:hAnsi="Times New Roman" w:eastAsia="仿宋_GB2312" w:cs="Times New Roman"/>
          <w:sz w:val="32"/>
          <w:szCs w:val="32"/>
        </w:rPr>
        <w:t>大写）（￥：</w:t>
      </w:r>
      <w:r>
        <w:rPr>
          <w:rFonts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lang w:val="en-US" w:eastAsia="zh-CN"/>
        </w:rPr>
        <w:t>/</w:t>
      </w:r>
      <w:r>
        <w:rPr>
          <w:rFonts w:ascii="Times New Roman" w:hAnsi="Times New Roman" w:eastAsia="仿宋_GB2312" w:cs="Times New Roman"/>
          <w:sz w:val="32"/>
          <w:szCs w:val="32"/>
          <w:u w:val="single"/>
        </w:rPr>
        <w:t xml:space="preserve">    元</w:t>
      </w:r>
      <w:r>
        <w:rPr>
          <w:rFonts w:ascii="Times New Roman" w:hAnsi="Times New Roman" w:eastAsia="仿宋_GB2312" w:cs="Times New Roman"/>
          <w:sz w:val="32"/>
          <w:szCs w:val="32"/>
        </w:rPr>
        <w:t>）；剩余部分在采矿权有效期内分</w:t>
      </w:r>
      <w:r>
        <w:rPr>
          <w:rFonts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u w:val="single"/>
          <w:lang w:val="en-US" w:eastAsia="zh-CN"/>
        </w:rPr>
        <w:t>/</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z w:val="32"/>
          <w:szCs w:val="32"/>
        </w:rPr>
        <w:t>年缴纳</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 xml:space="preserve">  </w:t>
      </w:r>
    </w:p>
    <w:p w14:paraId="335C0BFA">
      <w:pPr>
        <w:spacing w:line="520" w:lineRule="exact"/>
        <w:ind w:firstLine="636" w:firstLineChars="199"/>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于</w:t>
      </w:r>
      <w:r>
        <w:rPr>
          <w:rFonts w:hint="eastAsia" w:ascii="Times New Roman" w:hAnsi="Times New Roman" w:eastAsia="仿宋_GB2312" w:cs="Times New Roman"/>
          <w:sz w:val="32"/>
          <w:szCs w:val="32"/>
          <w:u w:val="single"/>
          <w:lang w:val="en-US" w:eastAsia="zh-CN"/>
        </w:rPr>
        <w:t xml:space="preserve"> /  </w:t>
      </w:r>
      <w:r>
        <w:rPr>
          <w:rFonts w:ascii="Times New Roman" w:hAnsi="Times New Roman" w:eastAsia="仿宋_GB2312" w:cs="Times New Roman"/>
          <w:sz w:val="32"/>
          <w:szCs w:val="32"/>
        </w:rPr>
        <w:t>年</w:t>
      </w:r>
      <w:r>
        <w:rPr>
          <w:rFonts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lang w:val="en-US" w:eastAsia="zh-CN"/>
        </w:rPr>
        <w:t>/</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月</w:t>
      </w:r>
      <w:r>
        <w:rPr>
          <w:rFonts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lang w:val="en-US" w:eastAsia="zh-CN"/>
        </w:rPr>
        <w:t>/</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日前缴纳人民币</w:t>
      </w:r>
      <w:r>
        <w:rPr>
          <w:rFonts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u w:val="single"/>
          <w:lang w:val="en-US" w:eastAsia="zh-CN"/>
        </w:rPr>
        <w:t>/</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z w:val="32"/>
          <w:szCs w:val="32"/>
          <w:u w:val="single"/>
        </w:rPr>
        <w:t>（</w:t>
      </w:r>
      <w:r>
        <w:rPr>
          <w:rFonts w:ascii="Times New Roman" w:hAnsi="Times New Roman" w:eastAsia="仿宋_GB2312" w:cs="Times New Roman"/>
          <w:sz w:val="32"/>
          <w:szCs w:val="32"/>
        </w:rPr>
        <w:t>大写）（￥：</w:t>
      </w:r>
      <w:r>
        <w:rPr>
          <w:rFonts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lang w:val="en-US" w:eastAsia="zh-CN"/>
        </w:rPr>
        <w:t>/</w:t>
      </w:r>
      <w:r>
        <w:rPr>
          <w:rFonts w:ascii="Times New Roman" w:hAnsi="Times New Roman" w:eastAsia="仿宋_GB2312" w:cs="Times New Roman"/>
          <w:sz w:val="32"/>
          <w:szCs w:val="32"/>
          <w:u w:val="single"/>
        </w:rPr>
        <w:t xml:space="preserve">   元</w:t>
      </w:r>
      <w:r>
        <w:rPr>
          <w:rFonts w:ascii="Times New Roman" w:hAnsi="Times New Roman" w:eastAsia="仿宋_GB2312" w:cs="Times New Roman"/>
          <w:sz w:val="32"/>
          <w:szCs w:val="32"/>
        </w:rPr>
        <w:t>）。</w:t>
      </w:r>
    </w:p>
    <w:p w14:paraId="79048786">
      <w:pPr>
        <w:pStyle w:val="2"/>
        <w:ind w:firstLine="640" w:firstLineChars="200"/>
        <w:rPr>
          <w:rFonts w:hint="default" w:eastAsia="仿宋_GB2312"/>
          <w:lang w:val="en-US" w:eastAsia="zh-CN"/>
        </w:rPr>
      </w:pPr>
      <w:r>
        <w:rPr>
          <w:rFonts w:hint="eastAsia" w:ascii="Times New Roman" w:hAnsi="Times New Roman" w:eastAsia="仿宋_GB2312" w:cs="Times New Roman"/>
          <w:sz w:val="32"/>
          <w:szCs w:val="32"/>
          <w:lang w:val="en-US" w:eastAsia="zh-CN"/>
        </w:rPr>
        <w:t>......（分期缴款信息按实际情况填写）</w:t>
      </w:r>
    </w:p>
    <w:p w14:paraId="3C811432">
      <w:pPr>
        <w:spacing w:line="520" w:lineRule="exact"/>
        <w:ind w:firstLine="636" w:firstLineChars="19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一次性缴纳和分期缴纳出让收益仅为缴款方式的选择，与采矿权人是否动用或实际动用资源储量无关，合同生效后，缴纳全部出让收益为采矿权人的义务。</w:t>
      </w:r>
    </w:p>
    <w:p w14:paraId="27A1C711">
      <w:pPr>
        <w:spacing w:line="520" w:lineRule="exact"/>
        <w:ind w:firstLine="619" w:firstLineChars="200"/>
        <w:jc w:val="left"/>
        <w:rPr>
          <w:rFonts w:ascii="Times New Roman" w:hAnsi="Times New Roman" w:eastAsia="仿宋_GB2312" w:cs="Times New Roman"/>
          <w:b/>
          <w:spacing w:val="-6"/>
          <w:sz w:val="32"/>
          <w:szCs w:val="32"/>
        </w:rPr>
      </w:pPr>
      <w:r>
        <w:rPr>
          <w:rFonts w:ascii="Times New Roman" w:hAnsi="Times New Roman" w:eastAsia="仿宋_GB2312" w:cs="Times New Roman"/>
          <w:b/>
          <w:spacing w:val="-6"/>
          <w:sz w:val="32"/>
          <w:szCs w:val="32"/>
        </w:rPr>
        <w:t>通过出让收益率形式征收</w:t>
      </w:r>
    </w:p>
    <w:p w14:paraId="6953F2D3">
      <w:pPr>
        <w:spacing w:line="520" w:lineRule="exact"/>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color w:val="auto"/>
          <w:sz w:val="32"/>
          <w:szCs w:val="32"/>
          <w:lang w:eastAsia="zh-CN"/>
        </w:rPr>
        <w:t>在签订本出让合同后</w:t>
      </w:r>
      <w:r>
        <w:rPr>
          <w:rFonts w:hint="eastAsia" w:ascii="Times New Roman" w:hAnsi="Times New Roman" w:eastAsia="仿宋_GB2312" w:cs="Times New Roman"/>
          <w:color w:val="auto"/>
          <w:sz w:val="32"/>
          <w:szCs w:val="32"/>
          <w:lang w:val="en-US" w:eastAsia="zh-CN"/>
        </w:rPr>
        <w:t>7日内一次性缴纳竞争确定的成交价</w:t>
      </w:r>
      <w:r>
        <w:rPr>
          <w:rFonts w:hint="eastAsia" w:ascii="Times New Roman" w:hAnsi="Times New Roman" w:eastAsia="仿宋_GB2312" w:cs="Times New Roman"/>
          <w:color w:val="auto"/>
          <w:sz w:val="32"/>
          <w:szCs w:val="32"/>
          <w:u w:val="single"/>
          <w:lang w:val="en-US" w:eastAsia="zh-CN"/>
        </w:rPr>
        <w:t xml:space="preserve">    </w:t>
      </w:r>
      <w:r>
        <w:rPr>
          <w:rFonts w:hint="eastAsia" w:ascii="Times New Roman" w:hAnsi="Times New Roman" w:eastAsia="仿宋_GB2312" w:cs="Times New Roman"/>
          <w:color w:val="auto"/>
          <w:sz w:val="32"/>
          <w:szCs w:val="32"/>
          <w:lang w:val="en-US" w:eastAsia="zh-CN"/>
        </w:rPr>
        <w:t>万元。</w:t>
      </w:r>
    </w:p>
    <w:p w14:paraId="3AA53FB0">
      <w:pPr>
        <w:spacing w:line="52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在采矿权</w:t>
      </w:r>
      <w:r>
        <w:rPr>
          <w:rFonts w:hint="eastAsia" w:ascii="Times New Roman" w:hAnsi="Times New Roman" w:eastAsia="仿宋_GB2312" w:cs="Times New Roman"/>
          <w:sz w:val="32"/>
          <w:szCs w:val="32"/>
          <w:lang w:eastAsia="zh-CN"/>
        </w:rPr>
        <w:t>有效期</w:t>
      </w:r>
      <w:r>
        <w:rPr>
          <w:rFonts w:ascii="Times New Roman" w:hAnsi="Times New Roman" w:eastAsia="仿宋_GB2312" w:cs="Times New Roman"/>
          <w:sz w:val="32"/>
          <w:szCs w:val="32"/>
        </w:rPr>
        <w:t>内，每年</w:t>
      </w:r>
      <w:r>
        <w:rPr>
          <w:rFonts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lang w:val="en-US" w:eastAsia="zh-CN"/>
        </w:rPr>
        <w:t>2</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月</w:t>
      </w:r>
      <w:r>
        <w:rPr>
          <w:rFonts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lang w:val="en-US" w:eastAsia="zh-CN"/>
        </w:rPr>
        <w:t>28</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日前按照矿产品年度销售收入的</w:t>
      </w:r>
      <w:r>
        <w:rPr>
          <w:rFonts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lang w:val="en-US" w:eastAsia="zh-CN"/>
        </w:rPr>
        <w:t>3</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%缴纳年度采矿权出让收益。</w:t>
      </w:r>
    </w:p>
    <w:p w14:paraId="440072D2">
      <w:pPr>
        <w:spacing w:line="52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在采矿权有效期内，每年</w:t>
      </w:r>
      <w:r>
        <w:rPr>
          <w:rFonts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lang w:val="en-US" w:eastAsia="zh-CN"/>
        </w:rPr>
        <w:t>/</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月</w:t>
      </w:r>
      <w:r>
        <w:rPr>
          <w:rFonts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lang w:val="en-US" w:eastAsia="zh-CN"/>
        </w:rPr>
        <w:t>/</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日前按照上一年规定的收益率缴纳矿业权出让收益。</w:t>
      </w:r>
    </w:p>
    <w:p w14:paraId="5DA9BF15">
      <w:pPr>
        <w:spacing w:line="520" w:lineRule="exact"/>
        <w:ind w:firstLine="619" w:firstLineChars="200"/>
        <w:jc w:val="left"/>
        <w:rPr>
          <w:rFonts w:ascii="Times New Roman" w:hAnsi="Times New Roman" w:eastAsia="仿宋_GB2312" w:cs="Times New Roman"/>
          <w:b/>
          <w:spacing w:val="-6"/>
          <w:sz w:val="32"/>
          <w:szCs w:val="32"/>
        </w:rPr>
      </w:pPr>
      <w:r>
        <w:rPr>
          <w:rFonts w:ascii="Times New Roman" w:hAnsi="Times New Roman" w:eastAsia="仿宋_GB2312" w:cs="Times New Roman"/>
          <w:b/>
          <w:spacing w:val="-6"/>
          <w:sz w:val="32"/>
          <w:szCs w:val="32"/>
        </w:rPr>
        <w:t xml:space="preserve">第六条  </w:t>
      </w:r>
      <w:r>
        <w:rPr>
          <w:rFonts w:ascii="Times New Roman" w:hAnsi="Times New Roman" w:eastAsia="仿宋_GB2312" w:cs="Times New Roman"/>
          <w:spacing w:val="-6"/>
          <w:sz w:val="32"/>
          <w:szCs w:val="32"/>
        </w:rPr>
        <w:t>矿业权出让收益、使用费（占用费）、逾期产生的滞纳金均由税务部门负责征收。</w:t>
      </w: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方应在收到缴款通知书30日内，按缴款通知书及时缴纳矿业权出让收益。分期缴纳的，</w:t>
      </w:r>
      <w:r>
        <w:rPr>
          <w:rFonts w:hint="eastAsia" w:ascii="Times New Roman" w:hAnsi="Times New Roman" w:eastAsia="仿宋_GB2312" w:cs="Times New Roman"/>
          <w:spacing w:val="-6"/>
          <w:sz w:val="32"/>
          <w:szCs w:val="32"/>
          <w:lang w:eastAsia="zh-CN"/>
        </w:rPr>
        <w:t>首期按缴款通知书缴纳，</w:t>
      </w:r>
      <w:r>
        <w:rPr>
          <w:rFonts w:ascii="Times New Roman" w:hAnsi="Times New Roman" w:eastAsia="仿宋_GB2312" w:cs="Times New Roman"/>
          <w:spacing w:val="-6"/>
          <w:sz w:val="32"/>
          <w:szCs w:val="32"/>
        </w:rPr>
        <w:t>剩余部分按合同约定的时间缴纳。</w:t>
      </w:r>
    </w:p>
    <w:p w14:paraId="4382AAD3">
      <w:pPr>
        <w:spacing w:line="520" w:lineRule="exact"/>
        <w:ind w:firstLine="619" w:firstLineChars="200"/>
        <w:jc w:val="left"/>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第七条  </w:t>
      </w: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方应自本合同签订之日起90日内持本合同、采矿权出让收益支付凭证、滞纳金缴纳凭证（涉及逾期缴纳采矿权出让收益的）及法律法规规定的要件资料，按规定向</w:t>
      </w:r>
      <w:r>
        <w:rPr>
          <w:rFonts w:hint="eastAsia" w:ascii="Times New Roman" w:hAnsi="Times New Roman" w:eastAsia="仿宋_GB2312" w:cs="Times New Roman"/>
          <w:spacing w:val="-6"/>
          <w:sz w:val="32"/>
          <w:szCs w:val="32"/>
          <w:lang w:eastAsia="zh-CN"/>
        </w:rPr>
        <w:t>甲方</w:t>
      </w:r>
      <w:r>
        <w:rPr>
          <w:rFonts w:ascii="Times New Roman" w:hAnsi="Times New Roman" w:eastAsia="仿宋_GB2312" w:cs="Times New Roman"/>
          <w:spacing w:val="-6"/>
          <w:sz w:val="32"/>
          <w:szCs w:val="32"/>
        </w:rPr>
        <w:t>申请办理采矿权登记；</w:t>
      </w:r>
      <w:r>
        <w:rPr>
          <w:rFonts w:hint="eastAsia" w:ascii="Times New Roman" w:hAnsi="Times New Roman" w:eastAsia="仿宋_GB2312" w:cs="Times New Roman"/>
          <w:spacing w:val="-6"/>
          <w:sz w:val="32"/>
          <w:szCs w:val="32"/>
          <w:lang w:eastAsia="zh-CN"/>
        </w:rPr>
        <w:t>甲</w:t>
      </w:r>
      <w:r>
        <w:rPr>
          <w:rFonts w:ascii="Times New Roman" w:hAnsi="Times New Roman" w:eastAsia="仿宋_GB2312" w:cs="Times New Roman"/>
          <w:spacing w:val="-6"/>
          <w:sz w:val="32"/>
          <w:szCs w:val="32"/>
        </w:rPr>
        <w:t>方应在受理采矿登记申请之日起30日内，依法办理采矿权登记，颁发采矿许可证。</w:t>
      </w:r>
    </w:p>
    <w:p w14:paraId="44376B2E">
      <w:pPr>
        <w:spacing w:line="520" w:lineRule="exact"/>
        <w:ind w:firstLine="608"/>
        <w:rPr>
          <w:rFonts w:ascii="Times New Roman" w:hAnsi="Times New Roman" w:eastAsia="仿宋_GB2312" w:cs="Times New Roman"/>
          <w:spacing w:val="-6"/>
          <w:sz w:val="32"/>
          <w:szCs w:val="32"/>
        </w:rPr>
      </w:pP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方未领取采矿许可证，不得开采受让矿区范围内的矿产资源。</w:t>
      </w:r>
    </w:p>
    <w:p w14:paraId="1CC910C6">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第八条  </w:t>
      </w: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方应自本合同签订之日起90日内按照国家和重庆市绿色矿山建设标准，委托第三方编制或自行编制《绿色矿山建设实施方案》</w:t>
      </w:r>
      <w:r>
        <w:rPr>
          <w:rFonts w:hint="eastAsia" w:ascii="Times New Roman" w:hAnsi="Times New Roman" w:eastAsia="仿宋_GB2312" w:cs="Times New Roman"/>
          <w:spacing w:val="-6"/>
          <w:sz w:val="32"/>
          <w:szCs w:val="32"/>
          <w:lang w:eastAsia="zh-CN"/>
        </w:rPr>
        <w:t>，</w:t>
      </w:r>
      <w:r>
        <w:rPr>
          <w:rFonts w:ascii="Times New Roman" w:hAnsi="Times New Roman" w:eastAsia="仿宋_GB2312" w:cs="Times New Roman"/>
          <w:spacing w:val="-6"/>
          <w:sz w:val="32"/>
          <w:szCs w:val="32"/>
        </w:rPr>
        <w:t>经</w:t>
      </w: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方加盖印章</w:t>
      </w:r>
      <w:r>
        <w:rPr>
          <w:rFonts w:hint="eastAsia" w:ascii="Times New Roman" w:hAnsi="Times New Roman" w:eastAsia="仿宋_GB2312" w:cs="Times New Roman"/>
          <w:spacing w:val="-6"/>
          <w:sz w:val="32"/>
          <w:szCs w:val="32"/>
          <w:lang w:eastAsia="zh-CN"/>
        </w:rPr>
        <w:t>、</w:t>
      </w:r>
      <w:r>
        <w:rPr>
          <w:rFonts w:ascii="Times New Roman" w:hAnsi="Times New Roman" w:eastAsia="仿宋_GB2312" w:cs="Times New Roman"/>
          <w:spacing w:val="-6"/>
          <w:sz w:val="32"/>
          <w:szCs w:val="32"/>
        </w:rPr>
        <w:t>法定代表人和技术负责人签字</w:t>
      </w:r>
      <w:r>
        <w:rPr>
          <w:rFonts w:hint="eastAsia" w:ascii="Times New Roman" w:hAnsi="Times New Roman" w:eastAsia="仿宋_GB2312" w:cs="Times New Roman"/>
          <w:spacing w:val="-6"/>
          <w:sz w:val="32"/>
          <w:szCs w:val="32"/>
          <w:lang w:eastAsia="zh-CN"/>
        </w:rPr>
        <w:t>，</w:t>
      </w:r>
      <w:r>
        <w:rPr>
          <w:rFonts w:ascii="Times New Roman" w:hAnsi="Times New Roman" w:eastAsia="仿宋_GB2312" w:cs="Times New Roman"/>
          <w:spacing w:val="-6"/>
          <w:sz w:val="32"/>
          <w:szCs w:val="32"/>
        </w:rPr>
        <w:t>向所在地区县（自治县）自然资源主管部门报备，作为接受监督检查和第三方评估的依据。</w:t>
      </w:r>
    </w:p>
    <w:p w14:paraId="649D8F47">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第九条  </w:t>
      </w: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方应按照《绿色矿山建设实施方案》确定的建设内容和建设时序，开展绿色矿山建设，矿山投产时，应通过绿色矿山第三方评估，建成绿色矿山。</w:t>
      </w:r>
    </w:p>
    <w:p w14:paraId="5DEA6E15">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第十条  </w:t>
      </w: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方取得采矿许可证后，可按规定转让采矿权，并依法办理登记。</w:t>
      </w:r>
    </w:p>
    <w:p w14:paraId="0CD74457">
      <w:pPr>
        <w:spacing w:line="520" w:lineRule="exact"/>
        <w:ind w:firstLine="608"/>
        <w:rPr>
          <w:rFonts w:ascii="Times New Roman" w:hAnsi="Times New Roman" w:eastAsia="仿宋_GB2312" w:cs="Times New Roman"/>
          <w:spacing w:val="-6"/>
          <w:sz w:val="32"/>
          <w:szCs w:val="32"/>
        </w:rPr>
      </w:pP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方经依法批准转让采矿权的，本合同和登记文件中载明的权利义务随之转移，并仍然有效。</w:t>
      </w:r>
    </w:p>
    <w:p w14:paraId="6A847E7E">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第十一条 </w:t>
      </w:r>
      <w:r>
        <w:rPr>
          <w:rFonts w:ascii="Times New Roman" w:hAnsi="Times New Roman" w:eastAsia="仿宋_GB2312" w:cs="Times New Roman"/>
          <w:spacing w:val="-6"/>
          <w:sz w:val="32"/>
          <w:szCs w:val="32"/>
        </w:rPr>
        <w:t xml:space="preserve"> </w:t>
      </w: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方应当在本合同约定的采矿权出让年限内，</w:t>
      </w:r>
      <w:r>
        <w:rPr>
          <w:rFonts w:hint="eastAsia" w:ascii="Times New Roman" w:hAnsi="Times New Roman" w:eastAsia="仿宋_GB2312" w:cs="Times New Roman"/>
          <w:spacing w:val="-6"/>
          <w:sz w:val="32"/>
          <w:szCs w:val="32"/>
          <w:lang w:eastAsia="zh-CN"/>
        </w:rPr>
        <w:t>履行以下义务：</w:t>
      </w:r>
      <w:r>
        <w:rPr>
          <w:rFonts w:ascii="Times New Roman" w:hAnsi="Times New Roman" w:eastAsia="仿宋_GB2312" w:cs="Times New Roman"/>
          <w:spacing w:val="-6"/>
          <w:sz w:val="32"/>
          <w:szCs w:val="32"/>
        </w:rPr>
        <w:t>按</w:t>
      </w:r>
      <w:r>
        <w:rPr>
          <w:rFonts w:hint="eastAsia" w:ascii="Times New Roman" w:hAnsi="Times New Roman" w:eastAsia="仿宋_GB2312" w:cs="Times New Roman"/>
          <w:spacing w:val="-6"/>
          <w:sz w:val="32"/>
          <w:szCs w:val="32"/>
          <w:lang w:eastAsia="zh-CN"/>
        </w:rPr>
        <w:t>合法有效</w:t>
      </w:r>
      <w:r>
        <w:rPr>
          <w:rFonts w:ascii="Times New Roman" w:hAnsi="Times New Roman" w:eastAsia="仿宋_GB2312" w:cs="Times New Roman"/>
          <w:spacing w:val="-6"/>
          <w:sz w:val="32"/>
          <w:szCs w:val="32"/>
        </w:rPr>
        <w:t>的矿产资源开发利用方案进行矿山建设和开采；依法缴纳采矿权使用费；遵守国家和重庆市的有关矿山环境保护与恢复治理、劳动安全、水土保持、土地复垦等法律、法规和规定；接受自然资源主管部门的监督检查。</w:t>
      </w:r>
    </w:p>
    <w:p w14:paraId="48353575">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第十二条</w:t>
      </w:r>
      <w:r>
        <w:rPr>
          <w:rFonts w:ascii="Times New Roman" w:hAnsi="Times New Roman" w:eastAsia="仿宋_GB2312" w:cs="Times New Roman"/>
          <w:spacing w:val="-6"/>
          <w:sz w:val="32"/>
          <w:szCs w:val="32"/>
        </w:rPr>
        <w:t xml:space="preserve">  在采矿权出让年限内，</w:t>
      </w: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方需要变更矿区范围、变更开采矿种的，必须依法办理有关批准手续，重新签订采矿权出让合同。</w:t>
      </w:r>
    </w:p>
    <w:p w14:paraId="75B643C7">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第十三条</w:t>
      </w:r>
      <w:r>
        <w:rPr>
          <w:rFonts w:ascii="Times New Roman" w:hAnsi="Times New Roman" w:eastAsia="仿宋_GB2312" w:cs="Times New Roman"/>
          <w:spacing w:val="-6"/>
          <w:sz w:val="32"/>
          <w:szCs w:val="32"/>
        </w:rPr>
        <w:t xml:space="preserve">  本合同约定的采矿权在出让年限届满前，</w:t>
      </w: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方因生态环保、安全生产、公共利益、产业政策或矿产资源规划调整等原因被县级（包含）以上人民政府关闭的，本合同自关闭之日起解除。</w:t>
      </w:r>
      <w:r>
        <w:rPr>
          <w:rFonts w:hint="eastAsia" w:ascii="Times New Roman" w:hAnsi="Times New Roman" w:eastAsia="仿宋_GB2312" w:cs="Times New Roman"/>
          <w:spacing w:val="-6"/>
          <w:sz w:val="32"/>
          <w:szCs w:val="32"/>
          <w:lang w:eastAsia="zh-CN"/>
        </w:rPr>
        <w:t>甲</w:t>
      </w:r>
      <w:r>
        <w:rPr>
          <w:rFonts w:ascii="Times New Roman" w:hAnsi="Times New Roman" w:eastAsia="仿宋_GB2312" w:cs="Times New Roman"/>
          <w:spacing w:val="-6"/>
          <w:sz w:val="32"/>
          <w:szCs w:val="32"/>
        </w:rPr>
        <w:t>方根据</w:t>
      </w: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方实际动用的资源储量进行核定，对</w:t>
      </w: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方已缴纳的采矿权出让收益实行多退少补。</w:t>
      </w:r>
    </w:p>
    <w:p w14:paraId="671DD2EC">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第十四条</w:t>
      </w:r>
      <w:r>
        <w:rPr>
          <w:rFonts w:ascii="Times New Roman" w:hAnsi="Times New Roman" w:eastAsia="仿宋_GB2312" w:cs="Times New Roman"/>
          <w:spacing w:val="-6"/>
          <w:sz w:val="32"/>
          <w:szCs w:val="32"/>
        </w:rPr>
        <w:t xml:space="preserve">  在采矿权出让年限内，国家或重庆市人民政府出台新的矿产资源管理规定，涉及本合同约定的采矿权的，本合同按新规定执行。</w:t>
      </w:r>
    </w:p>
    <w:p w14:paraId="4E2E3BF4">
      <w:pPr>
        <w:spacing w:line="520" w:lineRule="exact"/>
        <w:ind w:firstLine="608"/>
        <w:rPr>
          <w:rFonts w:ascii="Times New Roman" w:hAnsi="Times New Roman" w:eastAsia="仿宋_GB2312" w:cs="Times New Roman"/>
          <w:spacing w:val="-6"/>
          <w:sz w:val="32"/>
          <w:szCs w:val="32"/>
        </w:rPr>
      </w:pP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方在采矿许可证有效期内停办、关闭矿山的，应当自决定停办或者关闭矿山之日起30日内，向</w:t>
      </w:r>
      <w:r>
        <w:rPr>
          <w:rFonts w:hint="eastAsia" w:ascii="Times New Roman" w:hAnsi="Times New Roman" w:eastAsia="仿宋_GB2312" w:cs="Times New Roman"/>
          <w:spacing w:val="-6"/>
          <w:sz w:val="32"/>
          <w:szCs w:val="32"/>
          <w:lang w:eastAsia="zh-CN"/>
        </w:rPr>
        <w:t>甲</w:t>
      </w:r>
      <w:r>
        <w:rPr>
          <w:rFonts w:ascii="Times New Roman" w:hAnsi="Times New Roman" w:eastAsia="仿宋_GB2312" w:cs="Times New Roman"/>
          <w:spacing w:val="-6"/>
          <w:sz w:val="32"/>
          <w:szCs w:val="32"/>
        </w:rPr>
        <w:t>方申请办理采矿许可证注销登记手续，采矿权无偿收归国有。</w:t>
      </w:r>
    </w:p>
    <w:p w14:paraId="48D5AD4E">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第十五条</w:t>
      </w:r>
      <w:r>
        <w:rPr>
          <w:rFonts w:ascii="Times New Roman" w:hAnsi="Times New Roman" w:eastAsia="仿宋_GB2312" w:cs="Times New Roman"/>
          <w:spacing w:val="-6"/>
          <w:sz w:val="32"/>
          <w:szCs w:val="32"/>
        </w:rPr>
        <w:t xml:space="preserve">  </w:t>
      </w: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方不能按本合同约定按时支付采矿权出让收益的</w:t>
      </w:r>
      <w:r>
        <w:rPr>
          <w:rFonts w:hint="eastAsia" w:ascii="Times New Roman" w:hAnsi="Times New Roman" w:eastAsia="仿宋_GB2312" w:cs="Times New Roman"/>
          <w:spacing w:val="-6"/>
          <w:sz w:val="32"/>
          <w:szCs w:val="32"/>
          <w:lang w:eastAsia="zh-CN"/>
        </w:rPr>
        <w:t>，</w:t>
      </w:r>
      <w:r>
        <w:rPr>
          <w:rFonts w:ascii="Times New Roman" w:hAnsi="Times New Roman" w:eastAsia="仿宋_GB2312" w:cs="Times New Roman"/>
          <w:spacing w:val="-6"/>
          <w:sz w:val="32"/>
          <w:szCs w:val="32"/>
        </w:rPr>
        <w:t>每日按欠缴采矿权出让收益的2‰计算滞纳金，由</w:t>
      </w:r>
      <w:r>
        <w:rPr>
          <w:rFonts w:hint="eastAsia" w:ascii="Times New Roman" w:hAnsi="Times New Roman" w:eastAsia="仿宋_GB2312" w:cs="Times New Roman"/>
          <w:spacing w:val="-6"/>
          <w:sz w:val="32"/>
          <w:szCs w:val="32"/>
          <w:lang w:eastAsia="zh-CN"/>
        </w:rPr>
        <w:t>税务</w:t>
      </w:r>
      <w:r>
        <w:rPr>
          <w:rFonts w:ascii="Times New Roman" w:hAnsi="Times New Roman" w:eastAsia="仿宋_GB2312" w:cs="Times New Roman"/>
          <w:spacing w:val="-6"/>
          <w:sz w:val="32"/>
          <w:szCs w:val="32"/>
        </w:rPr>
        <w:t>部门征收。</w:t>
      </w:r>
    </w:p>
    <w:p w14:paraId="17C29A5F">
      <w:pPr>
        <w:spacing w:line="520" w:lineRule="exact"/>
        <w:ind w:firstLine="607"/>
        <w:rPr>
          <w:rFonts w:ascii="Times New Roman" w:hAnsi="Times New Roman" w:eastAsia="仿宋_GB2312" w:cs="Times New Roman"/>
          <w:spacing w:val="-6"/>
          <w:sz w:val="32"/>
          <w:szCs w:val="32"/>
        </w:rPr>
      </w:pPr>
      <w:r>
        <w:rPr>
          <w:rFonts w:hint="eastAsia" w:ascii="Times New Roman" w:hAnsi="Times New Roman" w:eastAsia="仿宋_GB2312" w:cs="Times New Roman"/>
          <w:spacing w:val="-6"/>
          <w:sz w:val="32"/>
          <w:szCs w:val="32"/>
          <w:lang w:eastAsia="zh-CN"/>
        </w:rPr>
        <w:t>逾期</w:t>
      </w:r>
      <w:r>
        <w:rPr>
          <w:rFonts w:ascii="Times New Roman" w:hAnsi="Times New Roman" w:eastAsia="仿宋_GB2312" w:cs="Times New Roman"/>
          <w:spacing w:val="-6"/>
          <w:sz w:val="32"/>
          <w:szCs w:val="32"/>
        </w:rPr>
        <w:t>缴纳采矿权</w:t>
      </w:r>
      <w:r>
        <w:rPr>
          <w:rFonts w:ascii="Times New Roman" w:hAnsi="Times New Roman" w:eastAsia="仿宋_GB2312" w:cs="Times New Roman"/>
          <w:sz w:val="32"/>
          <w:szCs w:val="32"/>
        </w:rPr>
        <w:t>出让收益</w:t>
      </w:r>
      <w:r>
        <w:rPr>
          <w:rFonts w:ascii="Times New Roman" w:hAnsi="Times New Roman" w:eastAsia="仿宋_GB2312" w:cs="Times New Roman"/>
          <w:spacing w:val="-6"/>
          <w:sz w:val="32"/>
          <w:szCs w:val="32"/>
        </w:rPr>
        <w:t>超过6个月的，</w:t>
      </w:r>
      <w:r>
        <w:rPr>
          <w:rFonts w:hint="eastAsia" w:ascii="Times New Roman" w:hAnsi="Times New Roman" w:eastAsia="仿宋_GB2312" w:cs="Times New Roman"/>
          <w:spacing w:val="-6"/>
          <w:sz w:val="32"/>
          <w:szCs w:val="32"/>
          <w:lang w:eastAsia="zh-CN"/>
        </w:rPr>
        <w:t>甲</w:t>
      </w:r>
      <w:r>
        <w:rPr>
          <w:rFonts w:ascii="Times New Roman" w:hAnsi="Times New Roman" w:eastAsia="仿宋_GB2312" w:cs="Times New Roman"/>
          <w:spacing w:val="-6"/>
          <w:sz w:val="32"/>
          <w:szCs w:val="32"/>
        </w:rPr>
        <w:t>方有权</w:t>
      </w:r>
      <w:r>
        <w:rPr>
          <w:rFonts w:hint="eastAsia" w:ascii="Times New Roman" w:hAnsi="Times New Roman" w:eastAsia="仿宋_GB2312" w:cs="Times New Roman"/>
          <w:spacing w:val="-6"/>
          <w:sz w:val="32"/>
          <w:szCs w:val="32"/>
          <w:lang w:eastAsia="zh-CN"/>
        </w:rPr>
        <w:t>依法</w:t>
      </w:r>
      <w:r>
        <w:rPr>
          <w:rFonts w:ascii="Times New Roman" w:hAnsi="Times New Roman" w:eastAsia="仿宋_GB2312" w:cs="Times New Roman"/>
          <w:spacing w:val="-6"/>
          <w:sz w:val="32"/>
          <w:szCs w:val="32"/>
        </w:rPr>
        <w:t>解除</w:t>
      </w:r>
      <w:r>
        <w:rPr>
          <w:rFonts w:hint="eastAsia" w:ascii="Times New Roman" w:hAnsi="Times New Roman" w:eastAsia="仿宋_GB2312" w:cs="Times New Roman"/>
          <w:spacing w:val="-6"/>
          <w:sz w:val="32"/>
          <w:szCs w:val="32"/>
          <w:lang w:eastAsia="zh-CN"/>
        </w:rPr>
        <w:t>采矿权出让</w:t>
      </w:r>
      <w:r>
        <w:rPr>
          <w:rFonts w:ascii="Times New Roman" w:hAnsi="Times New Roman" w:eastAsia="仿宋_GB2312" w:cs="Times New Roman"/>
          <w:spacing w:val="-6"/>
          <w:sz w:val="32"/>
          <w:szCs w:val="32"/>
        </w:rPr>
        <w:t>合同、</w:t>
      </w:r>
      <w:r>
        <w:rPr>
          <w:rFonts w:hint="eastAsia" w:ascii="Times New Roman" w:hAnsi="Times New Roman" w:eastAsia="仿宋_GB2312" w:cs="Times New Roman"/>
          <w:spacing w:val="-6"/>
          <w:sz w:val="32"/>
          <w:szCs w:val="32"/>
          <w:lang w:eastAsia="zh-CN"/>
        </w:rPr>
        <w:t>注</w:t>
      </w:r>
      <w:r>
        <w:rPr>
          <w:rFonts w:ascii="Times New Roman" w:hAnsi="Times New Roman" w:eastAsia="仿宋_GB2312" w:cs="Times New Roman"/>
          <w:spacing w:val="-6"/>
          <w:sz w:val="32"/>
          <w:szCs w:val="32"/>
        </w:rPr>
        <w:t>销</w:t>
      </w:r>
      <w:r>
        <w:rPr>
          <w:rFonts w:hint="eastAsia" w:ascii="Times New Roman" w:hAnsi="Times New Roman" w:eastAsia="仿宋_GB2312" w:cs="Times New Roman"/>
          <w:spacing w:val="-6"/>
          <w:sz w:val="32"/>
          <w:szCs w:val="32"/>
          <w:lang w:eastAsia="zh-CN"/>
        </w:rPr>
        <w:t>其</w:t>
      </w:r>
      <w:r>
        <w:rPr>
          <w:rFonts w:ascii="Times New Roman" w:hAnsi="Times New Roman" w:eastAsia="仿宋_GB2312" w:cs="Times New Roman"/>
          <w:spacing w:val="-6"/>
          <w:sz w:val="32"/>
          <w:szCs w:val="32"/>
        </w:rPr>
        <w:t>采矿许可证，</w:t>
      </w:r>
      <w:r>
        <w:rPr>
          <w:rFonts w:hint="eastAsia" w:ascii="Times New Roman" w:hAnsi="Times New Roman" w:eastAsia="仿宋_GB2312" w:cs="Times New Roman"/>
          <w:spacing w:val="-6"/>
          <w:sz w:val="32"/>
          <w:szCs w:val="32"/>
          <w:lang w:eastAsia="zh-CN"/>
        </w:rPr>
        <w:t>同时</w:t>
      </w:r>
      <w:r>
        <w:rPr>
          <w:rFonts w:ascii="Times New Roman" w:hAnsi="Times New Roman" w:eastAsia="仿宋_GB2312" w:cs="Times New Roman"/>
          <w:spacing w:val="-6"/>
          <w:sz w:val="32"/>
          <w:szCs w:val="32"/>
        </w:rPr>
        <w:t>不退还</w:t>
      </w: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方已缴纳的采矿权出让收益，并</w:t>
      </w:r>
      <w:r>
        <w:rPr>
          <w:rFonts w:hint="eastAsia" w:ascii="Times New Roman" w:hAnsi="Times New Roman" w:eastAsia="仿宋_GB2312" w:cs="Times New Roman"/>
          <w:spacing w:val="-6"/>
          <w:sz w:val="32"/>
          <w:szCs w:val="32"/>
          <w:lang w:eastAsia="zh-CN"/>
        </w:rPr>
        <w:t>由税务</w:t>
      </w:r>
      <w:r>
        <w:rPr>
          <w:rFonts w:ascii="Times New Roman" w:hAnsi="Times New Roman" w:eastAsia="仿宋_GB2312" w:cs="Times New Roman"/>
          <w:spacing w:val="-6"/>
          <w:sz w:val="32"/>
          <w:szCs w:val="32"/>
        </w:rPr>
        <w:t>部门追缴</w:t>
      </w: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方欠缴的采矿权出让收益（含滞纳金）。双方另有约定除外。</w:t>
      </w:r>
    </w:p>
    <w:p w14:paraId="7AD41332">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第十六条</w:t>
      </w:r>
      <w:r>
        <w:rPr>
          <w:rFonts w:ascii="Times New Roman" w:hAnsi="Times New Roman" w:eastAsia="仿宋_GB2312" w:cs="Times New Roman"/>
          <w:spacing w:val="-6"/>
          <w:sz w:val="32"/>
          <w:szCs w:val="32"/>
        </w:rPr>
        <w:t xml:space="preserve">  </w:t>
      </w: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方未按本合同约定时限申请采矿登记，</w:t>
      </w:r>
      <w:r>
        <w:rPr>
          <w:rFonts w:hint="eastAsia" w:ascii="Times New Roman" w:hAnsi="Times New Roman" w:eastAsia="仿宋_GB2312" w:cs="Times New Roman"/>
          <w:spacing w:val="-6"/>
          <w:sz w:val="32"/>
          <w:szCs w:val="32"/>
          <w:lang w:eastAsia="zh-CN"/>
        </w:rPr>
        <w:t>甲</w:t>
      </w:r>
      <w:r>
        <w:rPr>
          <w:rFonts w:ascii="Times New Roman" w:hAnsi="Times New Roman" w:eastAsia="仿宋_GB2312" w:cs="Times New Roman"/>
          <w:spacing w:val="-6"/>
          <w:sz w:val="32"/>
          <w:szCs w:val="32"/>
        </w:rPr>
        <w:t>方有权解除合同，并不退还</w:t>
      </w: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方已缴纳的出让收益。</w:t>
      </w:r>
    </w:p>
    <w:p w14:paraId="4F0BF9E7">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第十七条</w:t>
      </w:r>
      <w:r>
        <w:rPr>
          <w:rFonts w:ascii="Times New Roman" w:hAnsi="Times New Roman" w:eastAsia="仿宋_GB2312" w:cs="Times New Roman"/>
          <w:spacing w:val="-6"/>
          <w:sz w:val="32"/>
          <w:szCs w:val="32"/>
        </w:rPr>
        <w:t xml:space="preserve">  </w:t>
      </w:r>
      <w:r>
        <w:rPr>
          <w:rFonts w:hint="eastAsia" w:ascii="Times New Roman" w:hAnsi="Times New Roman" w:eastAsia="仿宋_GB2312" w:cs="Times New Roman"/>
          <w:spacing w:val="-6"/>
          <w:sz w:val="32"/>
          <w:szCs w:val="32"/>
          <w:lang w:eastAsia="zh-CN"/>
        </w:rPr>
        <w:t>甲</w:t>
      </w:r>
      <w:r>
        <w:rPr>
          <w:rFonts w:ascii="Times New Roman" w:hAnsi="Times New Roman" w:eastAsia="仿宋_GB2312" w:cs="Times New Roman"/>
          <w:spacing w:val="-6"/>
          <w:sz w:val="32"/>
          <w:szCs w:val="32"/>
        </w:rPr>
        <w:t>方未按本合同约定按时颁发采矿许可证的，应自</w:t>
      </w:r>
      <w:r>
        <w:rPr>
          <w:rFonts w:hint="eastAsia" w:ascii="Times New Roman" w:hAnsi="Times New Roman" w:eastAsia="仿宋_GB2312" w:cs="Times New Roman"/>
          <w:spacing w:val="-6"/>
          <w:sz w:val="32"/>
          <w:szCs w:val="32"/>
          <w:lang w:eastAsia="zh-CN"/>
        </w:rPr>
        <w:t>逾期</w:t>
      </w:r>
      <w:r>
        <w:rPr>
          <w:rFonts w:ascii="Times New Roman" w:hAnsi="Times New Roman" w:eastAsia="仿宋_GB2312" w:cs="Times New Roman"/>
          <w:spacing w:val="-6"/>
          <w:sz w:val="32"/>
          <w:szCs w:val="32"/>
        </w:rPr>
        <w:t>颁发采矿许可证之日起6个月内，按照</w:t>
      </w: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方已支付的采矿权出让收益的2‰按日向</w:t>
      </w: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方支付违约金。</w:t>
      </w:r>
    </w:p>
    <w:p w14:paraId="7C2A4808">
      <w:pPr>
        <w:spacing w:line="520" w:lineRule="exact"/>
        <w:ind w:firstLine="607"/>
        <w:rPr>
          <w:rFonts w:ascii="Times New Roman" w:hAnsi="Times New Roman" w:eastAsia="仿宋_GB2312" w:cs="Times New Roman"/>
          <w:spacing w:val="-6"/>
          <w:sz w:val="32"/>
          <w:szCs w:val="32"/>
        </w:rPr>
      </w:pPr>
      <w:r>
        <w:rPr>
          <w:rFonts w:hint="eastAsia" w:ascii="Times New Roman" w:hAnsi="Times New Roman" w:eastAsia="仿宋_GB2312" w:cs="Times New Roman"/>
          <w:spacing w:val="-6"/>
          <w:sz w:val="32"/>
          <w:szCs w:val="32"/>
          <w:lang w:eastAsia="zh-CN"/>
        </w:rPr>
        <w:t>逾期</w:t>
      </w:r>
      <w:r>
        <w:rPr>
          <w:rFonts w:ascii="Times New Roman" w:hAnsi="Times New Roman" w:eastAsia="仿宋_GB2312" w:cs="Times New Roman"/>
          <w:spacing w:val="-6"/>
          <w:sz w:val="32"/>
          <w:szCs w:val="32"/>
        </w:rPr>
        <w:t>颁发采矿许可证超过6个月，</w:t>
      </w: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方有权解除合同，</w:t>
      </w:r>
      <w:r>
        <w:rPr>
          <w:rFonts w:hint="eastAsia" w:ascii="Times New Roman" w:hAnsi="Times New Roman" w:eastAsia="仿宋_GB2312" w:cs="Times New Roman"/>
          <w:spacing w:val="-6"/>
          <w:sz w:val="32"/>
          <w:szCs w:val="32"/>
          <w:lang w:eastAsia="zh-CN"/>
        </w:rPr>
        <w:t>甲</w:t>
      </w:r>
      <w:r>
        <w:rPr>
          <w:rFonts w:ascii="Times New Roman" w:hAnsi="Times New Roman" w:eastAsia="仿宋_GB2312" w:cs="Times New Roman"/>
          <w:spacing w:val="-6"/>
          <w:sz w:val="32"/>
          <w:szCs w:val="32"/>
        </w:rPr>
        <w:t>方应返还</w:t>
      </w: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方已缴纳的采矿权出让收益。</w:t>
      </w:r>
    </w:p>
    <w:p w14:paraId="79B56B31">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第十八条</w:t>
      </w:r>
      <w:r>
        <w:rPr>
          <w:rFonts w:ascii="Times New Roman" w:hAnsi="Times New Roman" w:eastAsia="仿宋_GB2312" w:cs="Times New Roman"/>
          <w:spacing w:val="-6"/>
          <w:sz w:val="32"/>
          <w:szCs w:val="32"/>
        </w:rPr>
        <w:t xml:space="preserve">  </w:t>
      </w: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方超越批准的矿区范围采矿的，</w:t>
      </w:r>
      <w:r>
        <w:rPr>
          <w:rFonts w:hint="eastAsia" w:ascii="Times New Roman" w:hAnsi="Times New Roman" w:eastAsia="仿宋_GB2312" w:cs="Times New Roman"/>
          <w:spacing w:val="-6"/>
          <w:sz w:val="32"/>
          <w:szCs w:val="32"/>
          <w:lang w:eastAsia="zh-CN"/>
        </w:rPr>
        <w:t>甲</w:t>
      </w:r>
      <w:r>
        <w:rPr>
          <w:rFonts w:ascii="Times New Roman" w:hAnsi="Times New Roman" w:eastAsia="仿宋_GB2312" w:cs="Times New Roman"/>
          <w:spacing w:val="-6"/>
          <w:sz w:val="32"/>
          <w:szCs w:val="32"/>
        </w:rPr>
        <w:t xml:space="preserve">方可以不批准延续、变更采矿许可证。 </w:t>
      </w:r>
    </w:p>
    <w:p w14:paraId="395264F0">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因前款原因</w:t>
      </w:r>
      <w:r>
        <w:rPr>
          <w:rFonts w:hint="eastAsia" w:ascii="Times New Roman" w:hAnsi="Times New Roman" w:eastAsia="仿宋_GB2312" w:cs="Times New Roman"/>
          <w:spacing w:val="-6"/>
          <w:sz w:val="32"/>
          <w:szCs w:val="32"/>
          <w:lang w:eastAsia="zh-CN"/>
        </w:rPr>
        <w:t>甲方</w:t>
      </w:r>
      <w:r>
        <w:rPr>
          <w:rFonts w:ascii="Times New Roman" w:hAnsi="Times New Roman" w:eastAsia="仿宋_GB2312" w:cs="Times New Roman"/>
          <w:spacing w:val="-6"/>
          <w:sz w:val="32"/>
          <w:szCs w:val="32"/>
        </w:rPr>
        <w:t>不批准延续、变更采矿许可证，或因</w:t>
      </w: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方责任导致采矿许可证被依法吊销、撤销或注销的，本出让合同终止，采矿权收归国有，</w:t>
      </w:r>
      <w:r>
        <w:rPr>
          <w:rFonts w:hint="eastAsia" w:ascii="Times New Roman" w:hAnsi="Times New Roman" w:eastAsia="仿宋_GB2312" w:cs="Times New Roman"/>
          <w:spacing w:val="-6"/>
          <w:sz w:val="32"/>
          <w:szCs w:val="32"/>
          <w:lang w:eastAsia="zh-CN"/>
        </w:rPr>
        <w:t>甲</w:t>
      </w:r>
      <w:r>
        <w:rPr>
          <w:rFonts w:ascii="Times New Roman" w:hAnsi="Times New Roman" w:eastAsia="仿宋_GB2312" w:cs="Times New Roman"/>
          <w:spacing w:val="-6"/>
          <w:sz w:val="32"/>
          <w:szCs w:val="32"/>
        </w:rPr>
        <w:t>方不退还</w:t>
      </w: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方已缴纳的采矿权出让收益，并</w:t>
      </w:r>
      <w:r>
        <w:rPr>
          <w:rFonts w:hint="eastAsia" w:ascii="Times New Roman" w:hAnsi="Times New Roman" w:eastAsia="仿宋_GB2312" w:cs="Times New Roman"/>
          <w:spacing w:val="-6"/>
          <w:sz w:val="32"/>
          <w:szCs w:val="32"/>
          <w:lang w:eastAsia="zh-CN"/>
        </w:rPr>
        <w:t>由税务</w:t>
      </w:r>
      <w:r>
        <w:rPr>
          <w:rFonts w:ascii="Times New Roman" w:hAnsi="Times New Roman" w:eastAsia="仿宋_GB2312" w:cs="Times New Roman"/>
          <w:spacing w:val="-6"/>
          <w:sz w:val="32"/>
          <w:szCs w:val="32"/>
        </w:rPr>
        <w:t>部门追缴</w:t>
      </w: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方欠缴的采矿权出让收益（含滞纳金）。</w:t>
      </w:r>
    </w:p>
    <w:p w14:paraId="5A85AFD4">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第十九条 </w:t>
      </w:r>
      <w:r>
        <w:rPr>
          <w:rFonts w:ascii="Times New Roman" w:hAnsi="Times New Roman" w:eastAsia="仿宋_GB2312" w:cs="Times New Roman"/>
          <w:spacing w:val="-6"/>
          <w:sz w:val="32"/>
          <w:szCs w:val="32"/>
        </w:rPr>
        <w:t xml:space="preserve"> </w:t>
      </w: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方未按本合同约定按期通过绿色矿山第三方评估、建成绿色矿山的，</w:t>
      </w:r>
      <w:r>
        <w:rPr>
          <w:rFonts w:hint="eastAsia" w:ascii="Times New Roman" w:hAnsi="Times New Roman" w:eastAsia="仿宋_GB2312" w:cs="Times New Roman"/>
          <w:spacing w:val="-6"/>
          <w:sz w:val="32"/>
          <w:szCs w:val="32"/>
          <w:lang w:eastAsia="zh-CN"/>
        </w:rPr>
        <w:t>甲</w:t>
      </w:r>
      <w:r>
        <w:rPr>
          <w:rFonts w:ascii="Times New Roman" w:hAnsi="Times New Roman" w:eastAsia="仿宋_GB2312" w:cs="Times New Roman"/>
          <w:spacing w:val="-6"/>
          <w:sz w:val="32"/>
          <w:szCs w:val="32"/>
        </w:rPr>
        <w:t>方有权要求</w:t>
      </w: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方限期整改；</w:t>
      </w: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方拒不整改或整改后仍验收不合格的，</w:t>
      </w:r>
      <w:r>
        <w:rPr>
          <w:rFonts w:hint="eastAsia" w:ascii="Times New Roman" w:hAnsi="Times New Roman" w:eastAsia="仿宋_GB2312" w:cs="Times New Roman"/>
          <w:spacing w:val="-6"/>
          <w:sz w:val="32"/>
          <w:szCs w:val="32"/>
          <w:lang w:eastAsia="zh-CN"/>
        </w:rPr>
        <w:t>甲</w:t>
      </w:r>
      <w:r>
        <w:rPr>
          <w:rFonts w:ascii="Times New Roman" w:hAnsi="Times New Roman" w:eastAsia="仿宋_GB2312" w:cs="Times New Roman"/>
          <w:spacing w:val="-6"/>
          <w:sz w:val="32"/>
          <w:szCs w:val="32"/>
        </w:rPr>
        <w:t>方可将其列入异常名录、严重违法名单，会同有权部门依法予以罚款、停产整顿，追究其继续履行绿色矿山建设义务、赔偿经济损失等违约责任；</w:t>
      </w: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方拒不履行绿色矿山建设义务的，</w:t>
      </w:r>
      <w:r>
        <w:rPr>
          <w:rFonts w:hint="eastAsia" w:ascii="Times New Roman" w:hAnsi="Times New Roman" w:eastAsia="仿宋_GB2312" w:cs="Times New Roman"/>
          <w:spacing w:val="-6"/>
          <w:sz w:val="32"/>
          <w:szCs w:val="32"/>
          <w:lang w:eastAsia="zh-CN"/>
        </w:rPr>
        <w:t>甲</w:t>
      </w:r>
      <w:r>
        <w:rPr>
          <w:rFonts w:ascii="Times New Roman" w:hAnsi="Times New Roman" w:eastAsia="仿宋_GB2312" w:cs="Times New Roman"/>
          <w:spacing w:val="-6"/>
          <w:sz w:val="32"/>
          <w:szCs w:val="32"/>
        </w:rPr>
        <w:t>方有权依法解除采矿权出让合同、注销其采矿许可证，</w:t>
      </w:r>
      <w:r>
        <w:rPr>
          <w:rFonts w:hint="eastAsia" w:ascii="Times New Roman" w:hAnsi="Times New Roman" w:eastAsia="仿宋_GB2312" w:cs="Times New Roman"/>
          <w:spacing w:val="-6"/>
          <w:sz w:val="32"/>
          <w:szCs w:val="32"/>
          <w:lang w:eastAsia="zh-CN"/>
        </w:rPr>
        <w:t>同时</w:t>
      </w:r>
      <w:r>
        <w:rPr>
          <w:rFonts w:ascii="Times New Roman" w:hAnsi="Times New Roman" w:eastAsia="仿宋_GB2312" w:cs="Times New Roman"/>
          <w:spacing w:val="-6"/>
          <w:sz w:val="32"/>
          <w:szCs w:val="32"/>
        </w:rPr>
        <w:t>不退还</w:t>
      </w: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方已缴纳的采矿权出让收益，并</w:t>
      </w:r>
      <w:r>
        <w:rPr>
          <w:rFonts w:hint="eastAsia" w:ascii="Times New Roman" w:hAnsi="Times New Roman" w:eastAsia="仿宋_GB2312" w:cs="Times New Roman"/>
          <w:spacing w:val="-6"/>
          <w:sz w:val="32"/>
          <w:szCs w:val="32"/>
          <w:lang w:eastAsia="zh-CN"/>
        </w:rPr>
        <w:t>由税务部门</w:t>
      </w:r>
      <w:r>
        <w:rPr>
          <w:rFonts w:ascii="Times New Roman" w:hAnsi="Times New Roman" w:eastAsia="仿宋_GB2312" w:cs="Times New Roman"/>
          <w:spacing w:val="-6"/>
          <w:sz w:val="32"/>
          <w:szCs w:val="32"/>
        </w:rPr>
        <w:t>追缴</w:t>
      </w:r>
      <w:r>
        <w:rPr>
          <w:rFonts w:hint="eastAsia" w:ascii="Times New Roman" w:hAnsi="Times New Roman" w:eastAsia="仿宋_GB2312" w:cs="Times New Roman"/>
          <w:spacing w:val="-6"/>
          <w:sz w:val="32"/>
          <w:szCs w:val="32"/>
          <w:lang w:eastAsia="zh-CN"/>
        </w:rPr>
        <w:t>乙</w:t>
      </w:r>
      <w:r>
        <w:rPr>
          <w:rFonts w:ascii="Times New Roman" w:hAnsi="Times New Roman" w:eastAsia="仿宋_GB2312" w:cs="Times New Roman"/>
          <w:spacing w:val="-6"/>
          <w:sz w:val="32"/>
          <w:szCs w:val="32"/>
        </w:rPr>
        <w:t>方欠缴的采矿权出让收益（含滞纳金）。</w:t>
      </w:r>
    </w:p>
    <w:p w14:paraId="5E1FF8A0">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第二十条</w:t>
      </w:r>
      <w:r>
        <w:rPr>
          <w:rFonts w:ascii="Times New Roman" w:hAnsi="Times New Roman" w:eastAsia="仿宋_GB2312" w:cs="Times New Roman"/>
          <w:spacing w:val="-6"/>
          <w:sz w:val="32"/>
          <w:szCs w:val="32"/>
        </w:rPr>
        <w:t xml:space="preserve">  由于地质情况的复杂性和勘查工作的局限性，矿区范围内的</w:t>
      </w:r>
      <w:r>
        <w:rPr>
          <w:rFonts w:hint="eastAsia" w:ascii="Times New Roman" w:hAnsi="Times New Roman" w:eastAsia="仿宋_GB2312" w:cs="Times New Roman"/>
          <w:spacing w:val="-6"/>
          <w:sz w:val="32"/>
          <w:szCs w:val="32"/>
          <w:lang w:eastAsia="zh-CN"/>
        </w:rPr>
        <w:t>地质</w:t>
      </w:r>
      <w:r>
        <w:rPr>
          <w:rFonts w:ascii="Times New Roman" w:hAnsi="Times New Roman" w:eastAsia="仿宋_GB2312" w:cs="Times New Roman"/>
          <w:spacing w:val="-6"/>
          <w:sz w:val="32"/>
          <w:szCs w:val="32"/>
        </w:rPr>
        <w:t>储量</w:t>
      </w:r>
      <w:r>
        <w:rPr>
          <w:rFonts w:hint="eastAsia" w:ascii="Times New Roman" w:hAnsi="Times New Roman" w:eastAsia="仿宋_GB2312" w:cs="Times New Roman"/>
          <w:spacing w:val="-6"/>
          <w:sz w:val="32"/>
          <w:szCs w:val="32"/>
          <w:lang w:eastAsia="zh-CN"/>
        </w:rPr>
        <w:t>资料</w:t>
      </w:r>
      <w:r>
        <w:rPr>
          <w:rFonts w:ascii="Times New Roman" w:hAnsi="Times New Roman" w:eastAsia="仿宋_GB2312" w:cs="Times New Roman"/>
          <w:spacing w:val="-6"/>
          <w:sz w:val="32"/>
          <w:szCs w:val="32"/>
        </w:rPr>
        <w:t>与实际情况有可能不相符合</w:t>
      </w:r>
      <w:r>
        <w:rPr>
          <w:rFonts w:hint="eastAsia" w:ascii="Times New Roman" w:hAnsi="Times New Roman" w:eastAsia="仿宋_GB2312" w:cs="Times New Roman"/>
          <w:spacing w:val="-6"/>
          <w:sz w:val="32"/>
          <w:szCs w:val="32"/>
          <w:lang w:eastAsia="zh-CN"/>
        </w:rPr>
        <w:t>，甲方不能保证乙方开采得到出让合同记载的矿产资源量，乙</w:t>
      </w:r>
      <w:r>
        <w:rPr>
          <w:rFonts w:ascii="Times New Roman" w:hAnsi="Times New Roman" w:eastAsia="仿宋_GB2312" w:cs="Times New Roman"/>
          <w:spacing w:val="-6"/>
          <w:sz w:val="32"/>
          <w:szCs w:val="32"/>
        </w:rPr>
        <w:t>方完全了解此种风险，并自愿承担该风险。</w:t>
      </w:r>
    </w:p>
    <w:p w14:paraId="2D2367BB">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第二十一条 </w:t>
      </w:r>
      <w:r>
        <w:rPr>
          <w:rFonts w:ascii="Times New Roman" w:hAnsi="Times New Roman" w:eastAsia="仿宋_GB2312" w:cs="Times New Roman"/>
          <w:spacing w:val="-6"/>
          <w:sz w:val="32"/>
          <w:szCs w:val="32"/>
        </w:rPr>
        <w:t xml:space="preserve"> 任何一方对由于不可抗力造成的部分或全部不能履行本合同不负责任，但应在条件允许下采取一切必要的补救措施以减少因不可抗力造成的损失。</w:t>
      </w:r>
    </w:p>
    <w:p w14:paraId="59C9EDDB">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第二十</w:t>
      </w:r>
      <w:r>
        <w:rPr>
          <w:rFonts w:hint="eastAsia" w:ascii="Times New Roman" w:hAnsi="Times New Roman" w:eastAsia="仿宋_GB2312" w:cs="Times New Roman"/>
          <w:b/>
          <w:spacing w:val="-6"/>
          <w:sz w:val="32"/>
          <w:szCs w:val="32"/>
          <w:lang w:eastAsia="zh-CN"/>
        </w:rPr>
        <w:t>二</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本合同双方当事人同意，涉及本合同履行相关告知事项只要发送至本合同中所填写的通讯地址，即视为送达。上述地址的变更非经提前通知对方，对对方不生效。本条约定之地址亦适用于法律文书的送达。</w:t>
      </w:r>
    </w:p>
    <w:p w14:paraId="2F473052">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第二十</w:t>
      </w:r>
      <w:r>
        <w:rPr>
          <w:rFonts w:hint="eastAsia" w:ascii="Times New Roman" w:hAnsi="Times New Roman" w:eastAsia="仿宋_GB2312" w:cs="Times New Roman"/>
          <w:b/>
          <w:spacing w:val="-6"/>
          <w:sz w:val="32"/>
          <w:szCs w:val="32"/>
          <w:lang w:eastAsia="zh-CN"/>
        </w:rPr>
        <w:t>三</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本合同未尽事宜，从其法律、法规规定，也可由双方签订补充协议作为合同附件，与本合同具有同等法律效力。</w:t>
      </w:r>
    </w:p>
    <w:p w14:paraId="304C157C">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第二十</w:t>
      </w:r>
      <w:r>
        <w:rPr>
          <w:rFonts w:hint="eastAsia" w:ascii="Times New Roman" w:hAnsi="Times New Roman" w:eastAsia="仿宋_GB2312" w:cs="Times New Roman"/>
          <w:b/>
          <w:spacing w:val="-6"/>
          <w:sz w:val="32"/>
          <w:szCs w:val="32"/>
          <w:lang w:eastAsia="zh-CN"/>
        </w:rPr>
        <w:t>四</w:t>
      </w:r>
      <w:r>
        <w:rPr>
          <w:rFonts w:ascii="Times New Roman" w:hAnsi="Times New Roman" w:eastAsia="仿宋_GB2312" w:cs="Times New Roman"/>
          <w:b/>
          <w:spacing w:val="-6"/>
          <w:sz w:val="32"/>
          <w:szCs w:val="32"/>
        </w:rPr>
        <w:t xml:space="preserve">条 </w:t>
      </w:r>
      <w:r>
        <w:rPr>
          <w:rFonts w:ascii="Times New Roman" w:hAnsi="Times New Roman" w:eastAsia="仿宋_GB2312" w:cs="Times New Roman"/>
          <w:spacing w:val="-6"/>
          <w:sz w:val="32"/>
          <w:szCs w:val="32"/>
        </w:rPr>
        <w:t xml:space="preserve"> 因履行本合同发生争议，由争议双方协商解决，协商不成的，向</w:t>
      </w:r>
      <w:r>
        <w:rPr>
          <w:rFonts w:hint="eastAsia" w:ascii="Times New Roman" w:hAnsi="Times New Roman" w:eastAsia="仿宋_GB2312" w:cs="Times New Roman"/>
          <w:spacing w:val="-6"/>
          <w:sz w:val="32"/>
          <w:szCs w:val="32"/>
          <w:lang w:eastAsia="zh-CN"/>
        </w:rPr>
        <w:t>甲</w:t>
      </w:r>
      <w:r>
        <w:rPr>
          <w:rFonts w:ascii="Times New Roman" w:hAnsi="Times New Roman" w:eastAsia="仿宋_GB2312" w:cs="Times New Roman"/>
          <w:spacing w:val="-6"/>
          <w:sz w:val="32"/>
          <w:szCs w:val="32"/>
        </w:rPr>
        <w:t>方所在地人民法院起诉。违约方应承担争议给守约方造成的损失，该损失包括但不限于律师费、保全费、保全担保费等。</w:t>
      </w:r>
    </w:p>
    <w:p w14:paraId="70E21BE8">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第二十</w:t>
      </w:r>
      <w:r>
        <w:rPr>
          <w:rFonts w:hint="eastAsia" w:ascii="Times New Roman" w:hAnsi="Times New Roman" w:eastAsia="仿宋_GB2312" w:cs="Times New Roman"/>
          <w:b/>
          <w:spacing w:val="-6"/>
          <w:sz w:val="32"/>
          <w:szCs w:val="32"/>
          <w:lang w:eastAsia="zh-CN"/>
        </w:rPr>
        <w:t>五</w:t>
      </w:r>
      <w:r>
        <w:rPr>
          <w:rFonts w:ascii="Times New Roman" w:hAnsi="Times New Roman" w:eastAsia="仿宋_GB2312" w:cs="Times New Roman"/>
          <w:b/>
          <w:spacing w:val="-6"/>
          <w:sz w:val="32"/>
          <w:szCs w:val="32"/>
        </w:rPr>
        <w:t xml:space="preserve">条 </w:t>
      </w:r>
      <w:r>
        <w:rPr>
          <w:rFonts w:ascii="Times New Roman" w:hAnsi="Times New Roman" w:eastAsia="仿宋_GB2312" w:cs="Times New Roman"/>
          <w:spacing w:val="-6"/>
          <w:sz w:val="32"/>
          <w:szCs w:val="32"/>
        </w:rPr>
        <w:t xml:space="preserve"> 本合同经双方法定代表人或其授权委托代理人签字（章）并加盖印章后生效。</w:t>
      </w:r>
    </w:p>
    <w:p w14:paraId="21A1EC11">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第二十</w:t>
      </w:r>
      <w:r>
        <w:rPr>
          <w:rFonts w:hint="eastAsia" w:ascii="Times New Roman" w:hAnsi="Times New Roman" w:eastAsia="仿宋_GB2312" w:cs="Times New Roman"/>
          <w:b/>
          <w:spacing w:val="-6"/>
          <w:sz w:val="32"/>
          <w:szCs w:val="32"/>
          <w:lang w:eastAsia="zh-CN"/>
        </w:rPr>
        <w:t>六</w:t>
      </w:r>
      <w:r>
        <w:rPr>
          <w:rFonts w:ascii="Times New Roman" w:hAnsi="Times New Roman" w:eastAsia="仿宋_GB2312" w:cs="Times New Roman"/>
          <w:b/>
          <w:spacing w:val="-6"/>
          <w:sz w:val="32"/>
          <w:szCs w:val="32"/>
        </w:rPr>
        <w:t xml:space="preserve">条 </w:t>
      </w:r>
      <w:r>
        <w:rPr>
          <w:rFonts w:ascii="Times New Roman" w:hAnsi="Times New Roman" w:eastAsia="仿宋_GB2312" w:cs="Times New Roman"/>
          <w:spacing w:val="-6"/>
          <w:sz w:val="32"/>
          <w:szCs w:val="32"/>
        </w:rPr>
        <w:t xml:space="preserve"> 本合同采用汉字书写，一式陆份，具有同等法律效力，双方各执叁份。</w:t>
      </w:r>
    </w:p>
    <w:p w14:paraId="2923D2F6">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第二十</w:t>
      </w:r>
      <w:r>
        <w:rPr>
          <w:rFonts w:hint="eastAsia" w:ascii="Times New Roman" w:hAnsi="Times New Roman" w:eastAsia="仿宋_GB2312" w:cs="Times New Roman"/>
          <w:b/>
          <w:spacing w:val="-6"/>
          <w:sz w:val="32"/>
          <w:szCs w:val="32"/>
          <w:lang w:eastAsia="zh-CN"/>
        </w:rPr>
        <w:t>七</w:t>
      </w:r>
      <w:r>
        <w:rPr>
          <w:rFonts w:ascii="Times New Roman" w:hAnsi="Times New Roman" w:eastAsia="仿宋_GB2312" w:cs="Times New Roman"/>
          <w:b/>
          <w:spacing w:val="-6"/>
          <w:sz w:val="32"/>
          <w:szCs w:val="32"/>
        </w:rPr>
        <w:t>条</w:t>
      </w:r>
      <w:r>
        <w:rPr>
          <w:rFonts w:ascii="Times New Roman" w:hAnsi="Times New Roman" w:eastAsia="仿宋_GB2312" w:cs="Times New Roman"/>
          <w:spacing w:val="-6"/>
          <w:sz w:val="32"/>
          <w:szCs w:val="32"/>
        </w:rPr>
        <w:t xml:space="preserve">  本合同于</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pacing w:val="-6"/>
          <w:sz w:val="32"/>
          <w:szCs w:val="32"/>
        </w:rPr>
        <w:t>年</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pacing w:val="-6"/>
          <w:sz w:val="32"/>
          <w:szCs w:val="32"/>
        </w:rPr>
        <w:t>月</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pacing w:val="-6"/>
          <w:sz w:val="32"/>
          <w:szCs w:val="32"/>
        </w:rPr>
        <w:t>日在</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pacing w:val="-6"/>
          <w:sz w:val="32"/>
          <w:szCs w:val="32"/>
        </w:rPr>
        <w:t>规划和自然资源局签订。</w:t>
      </w:r>
    </w:p>
    <w:p w14:paraId="796CEF95">
      <w:pPr>
        <w:spacing w:line="520" w:lineRule="exact"/>
        <w:ind w:firstLine="607"/>
        <w:rPr>
          <w:rFonts w:ascii="Times New Roman" w:hAnsi="Times New Roman" w:eastAsia="仿宋_GB2312" w:cs="Times New Roman"/>
          <w:b/>
          <w:spacing w:val="-6"/>
          <w:sz w:val="32"/>
          <w:szCs w:val="32"/>
        </w:rPr>
      </w:pPr>
    </w:p>
    <w:p w14:paraId="3A9EC521">
      <w:pPr>
        <w:spacing w:line="520" w:lineRule="exact"/>
        <w:ind w:firstLine="608"/>
        <w:jc w:val="center"/>
        <w:rPr>
          <w:rFonts w:ascii="Times New Roman" w:hAnsi="Times New Roman" w:eastAsia="黑体" w:cs="Times New Roman"/>
          <w:b/>
          <w:spacing w:val="-6"/>
          <w:sz w:val="32"/>
          <w:szCs w:val="32"/>
        </w:rPr>
      </w:pPr>
      <w:r>
        <w:rPr>
          <w:rFonts w:ascii="Times New Roman" w:hAnsi="Times New Roman" w:eastAsia="黑体" w:cs="Times New Roman"/>
          <w:b/>
          <w:spacing w:val="-6"/>
          <w:sz w:val="32"/>
          <w:szCs w:val="32"/>
        </w:rPr>
        <w:t>补充条款</w:t>
      </w:r>
    </w:p>
    <w:p w14:paraId="4BBE86B3">
      <w:pPr>
        <w:spacing w:line="520" w:lineRule="exact"/>
        <w:ind w:firstLine="608"/>
        <w:rPr>
          <w:rFonts w:ascii="Times New Roman" w:hAnsi="Times New Roman" w:eastAsia="仿宋_GB2312" w:cs="Times New Roman"/>
          <w:b/>
          <w:spacing w:val="-6"/>
          <w:sz w:val="32"/>
          <w:szCs w:val="32"/>
        </w:rPr>
      </w:pPr>
    </w:p>
    <w:p w14:paraId="3DD0F671">
      <w:pPr>
        <w:spacing w:line="520" w:lineRule="exact"/>
        <w:ind w:firstLine="608"/>
        <w:rPr>
          <w:rFonts w:hint="eastAsia" w:ascii="Times New Roman" w:hAnsi="Times New Roman" w:eastAsia="仿宋_GB2312" w:cs="Times New Roman"/>
          <w:b/>
          <w:spacing w:val="-6"/>
          <w:sz w:val="32"/>
          <w:szCs w:val="32"/>
          <w:lang w:eastAsia="zh-CN"/>
        </w:rPr>
      </w:pPr>
      <w:r>
        <w:rPr>
          <w:rFonts w:ascii="Times New Roman" w:hAnsi="Times New Roman" w:eastAsia="仿宋_GB2312" w:cs="Times New Roman"/>
          <w:b/>
          <w:spacing w:val="-6"/>
          <w:sz w:val="32"/>
          <w:szCs w:val="32"/>
        </w:rPr>
        <w:t xml:space="preserve">第一条  </w:t>
      </w:r>
      <w:r>
        <w:rPr>
          <w:rFonts w:hint="default" w:ascii="Arial" w:hAnsi="Arial" w:eastAsia="仿宋_GB2312" w:cs="Arial"/>
          <w:b/>
          <w:spacing w:val="-6"/>
          <w:sz w:val="32"/>
          <w:szCs w:val="32"/>
        </w:rPr>
        <w:t>…</w:t>
      </w:r>
      <w:bookmarkStart w:id="0" w:name="_GoBack"/>
      <w:bookmarkEnd w:id="0"/>
    </w:p>
    <w:p w14:paraId="7460D292">
      <w:pPr>
        <w:spacing w:line="520" w:lineRule="exact"/>
        <w:rPr>
          <w:rFonts w:ascii="Times New Roman" w:hAnsi="Times New Roman" w:eastAsia="仿宋_GB2312" w:cs="Times New Roman"/>
          <w:b/>
          <w:spacing w:val="-6"/>
          <w:sz w:val="32"/>
          <w:szCs w:val="32"/>
        </w:rPr>
      </w:pPr>
    </w:p>
    <w:p w14:paraId="628F6EE2">
      <w:pPr>
        <w:spacing w:line="520" w:lineRule="exact"/>
        <w:rPr>
          <w:rFonts w:ascii="Times New Roman" w:hAnsi="Times New Roman" w:eastAsia="仿宋_GB2312" w:cs="Times New Roman"/>
          <w:b/>
          <w:spacing w:val="-6"/>
          <w:sz w:val="32"/>
          <w:szCs w:val="32"/>
        </w:rPr>
      </w:pPr>
      <w:r>
        <w:rPr>
          <w:rFonts w:ascii="Times New Roman" w:hAnsi="Times New Roman" w:eastAsia="仿宋_GB2312" w:cs="Times New Roman"/>
          <w:b/>
          <w:spacing w:val="-6"/>
          <w:sz w:val="32"/>
          <w:szCs w:val="32"/>
        </w:rPr>
        <w:t>出让方（</w:t>
      </w:r>
      <w:r>
        <w:rPr>
          <w:rFonts w:hint="eastAsia" w:ascii="Times New Roman" w:hAnsi="Times New Roman" w:eastAsia="仿宋_GB2312" w:cs="Times New Roman"/>
          <w:b/>
          <w:spacing w:val="-6"/>
          <w:sz w:val="32"/>
          <w:szCs w:val="32"/>
          <w:lang w:eastAsia="zh-CN"/>
        </w:rPr>
        <w:t>甲方</w:t>
      </w:r>
      <w:r>
        <w:rPr>
          <w:rFonts w:ascii="Times New Roman" w:hAnsi="Times New Roman" w:eastAsia="仿宋_GB2312" w:cs="Times New Roman"/>
          <w:b/>
          <w:spacing w:val="-6"/>
          <w:sz w:val="32"/>
          <w:szCs w:val="32"/>
        </w:rPr>
        <w:t>）：</w:t>
      </w:r>
      <w:r>
        <w:rPr>
          <w:rFonts w:ascii="Times New Roman" w:hAnsi="Times New Roman" w:eastAsia="仿宋_GB2312" w:cs="Times New Roman"/>
          <w:spacing w:val="-6"/>
          <w:sz w:val="32"/>
          <w:szCs w:val="32"/>
        </w:rPr>
        <w:t xml:space="preserve">                   </w:t>
      </w:r>
      <w:r>
        <w:rPr>
          <w:rFonts w:ascii="Times New Roman" w:hAnsi="Times New Roman" w:eastAsia="仿宋_GB2312" w:cs="Times New Roman"/>
          <w:b/>
          <w:spacing w:val="-6"/>
          <w:sz w:val="32"/>
          <w:szCs w:val="32"/>
        </w:rPr>
        <w:t>受让方（</w:t>
      </w:r>
      <w:r>
        <w:rPr>
          <w:rFonts w:hint="eastAsia" w:ascii="Times New Roman" w:hAnsi="Times New Roman" w:eastAsia="仿宋_GB2312" w:cs="Times New Roman"/>
          <w:b/>
          <w:spacing w:val="-6"/>
          <w:sz w:val="32"/>
          <w:szCs w:val="32"/>
          <w:lang w:eastAsia="zh-CN"/>
        </w:rPr>
        <w:t>乙方</w:t>
      </w:r>
      <w:r>
        <w:rPr>
          <w:rFonts w:ascii="Times New Roman" w:hAnsi="Times New Roman" w:eastAsia="仿宋_GB2312" w:cs="Times New Roman"/>
          <w:b/>
          <w:spacing w:val="-6"/>
          <w:sz w:val="32"/>
          <w:szCs w:val="32"/>
        </w:rPr>
        <w:t>）：</w:t>
      </w:r>
    </w:p>
    <w:p w14:paraId="7267C604">
      <w:pPr>
        <w:spacing w:line="520" w:lineRule="exact"/>
        <w:rPr>
          <w:rFonts w:ascii="Times New Roman" w:hAnsi="Times New Roman" w:eastAsia="仿宋_GB2312" w:cs="Times New Roman"/>
          <w:spacing w:val="-20"/>
          <w:sz w:val="32"/>
          <w:szCs w:val="32"/>
        </w:rPr>
      </w:pPr>
      <w:r>
        <w:rPr>
          <w:rFonts w:ascii="Times New Roman" w:hAnsi="Times New Roman" w:eastAsia="仿宋_GB2312" w:cs="Times New Roman"/>
          <w:spacing w:val="-6"/>
          <w:sz w:val="32"/>
          <w:szCs w:val="32"/>
        </w:rPr>
        <w:t xml:space="preserve">            </w:t>
      </w:r>
    </w:p>
    <w:p w14:paraId="558B66C7">
      <w:pPr>
        <w:spacing w:line="520" w:lineRule="exact"/>
        <w:rPr>
          <w:rFonts w:ascii="Times New Roman" w:hAnsi="Times New Roman" w:eastAsia="仿宋_GB2312" w:cs="Times New Roman"/>
          <w:b/>
          <w:spacing w:val="-6"/>
          <w:sz w:val="32"/>
          <w:szCs w:val="32"/>
        </w:rPr>
      </w:pPr>
      <w:r>
        <w:rPr>
          <w:rFonts w:ascii="Times New Roman" w:hAnsi="Times New Roman" w:eastAsia="仿宋_GB2312" w:cs="Times New Roman"/>
          <w:b/>
          <w:spacing w:val="-6"/>
          <w:sz w:val="32"/>
          <w:szCs w:val="32"/>
        </w:rPr>
        <w:t>法定代表人（委托代理人）：         法定代表人（委托代理人）</w:t>
      </w:r>
    </w:p>
    <w:p w14:paraId="62C987E8">
      <w:pPr>
        <w:spacing w:line="520" w:lineRule="exact"/>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（签章）</w:t>
      </w:r>
      <w:r>
        <w:rPr>
          <w:rFonts w:ascii="Times New Roman" w:hAnsi="Times New Roman" w:eastAsia="仿宋_GB2312" w:cs="Times New Roman"/>
          <w:spacing w:val="-6"/>
          <w:sz w:val="32"/>
          <w:szCs w:val="32"/>
        </w:rPr>
        <w:t xml:space="preserve">                          </w:t>
      </w:r>
      <w:r>
        <w:rPr>
          <w:rFonts w:ascii="Times New Roman" w:hAnsi="Times New Roman" w:eastAsia="仿宋_GB2312" w:cs="Times New Roman"/>
          <w:b/>
          <w:spacing w:val="-6"/>
          <w:sz w:val="32"/>
          <w:szCs w:val="32"/>
        </w:rPr>
        <w:t xml:space="preserve">（签章）  </w:t>
      </w:r>
      <w:r>
        <w:rPr>
          <w:rFonts w:ascii="Times New Roman" w:hAnsi="Times New Roman" w:eastAsia="仿宋_GB2312" w:cs="Times New Roman"/>
          <w:spacing w:val="-6"/>
          <w:sz w:val="32"/>
          <w:szCs w:val="32"/>
        </w:rPr>
        <w:t xml:space="preserve">                          </w:t>
      </w:r>
    </w:p>
    <w:p w14:paraId="50AD0558">
      <w:pPr>
        <w:spacing w:line="520" w:lineRule="exact"/>
        <w:rPr>
          <w:rFonts w:ascii="Times New Roman" w:hAnsi="Times New Roman" w:eastAsia="仿宋_GB2312" w:cs="Times New Roman"/>
          <w:spacing w:val="-6"/>
          <w:sz w:val="32"/>
          <w:szCs w:val="32"/>
        </w:rPr>
      </w:pPr>
    </w:p>
    <w:p w14:paraId="326E435B">
      <w:pPr>
        <w:spacing w:line="520" w:lineRule="exact"/>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电    话：</w:t>
      </w:r>
      <w:r>
        <w:rPr>
          <w:rFonts w:ascii="Times New Roman" w:hAnsi="Times New Roman" w:eastAsia="仿宋_GB2312" w:cs="Times New Roman"/>
          <w:spacing w:val="-6"/>
          <w:sz w:val="32"/>
          <w:szCs w:val="32"/>
        </w:rPr>
        <w:t xml:space="preserve">                         </w:t>
      </w:r>
      <w:r>
        <w:rPr>
          <w:rFonts w:ascii="Times New Roman" w:hAnsi="Times New Roman" w:eastAsia="仿宋_GB2312" w:cs="Times New Roman"/>
          <w:b/>
          <w:spacing w:val="-6"/>
          <w:sz w:val="32"/>
          <w:szCs w:val="32"/>
        </w:rPr>
        <w:t>电    话：</w:t>
      </w:r>
    </w:p>
    <w:p w14:paraId="6A381F40">
      <w:pPr>
        <w:rPr>
          <w:rFonts w:ascii="Times New Roman" w:hAnsi="Times New Roman" w:eastAsia="方正仿宋_GBK" w:cs="Times New Roman"/>
          <w:b/>
          <w:sz w:val="28"/>
          <w:szCs w:val="28"/>
        </w:rPr>
      </w:pPr>
      <w:r>
        <w:rPr>
          <w:rFonts w:ascii="Times New Roman" w:hAnsi="Times New Roman" w:eastAsia="仿宋_GB2312" w:cs="Times New Roman"/>
          <w:b/>
          <w:spacing w:val="-6"/>
          <w:sz w:val="32"/>
          <w:szCs w:val="32"/>
        </w:rPr>
        <w:t>邮政编码：</w:t>
      </w:r>
      <w:r>
        <w:rPr>
          <w:rFonts w:ascii="Times New Roman" w:hAnsi="Times New Roman" w:eastAsia="仿宋_GB2312" w:cs="Times New Roman"/>
          <w:spacing w:val="-6"/>
          <w:sz w:val="32"/>
          <w:szCs w:val="32"/>
        </w:rPr>
        <w:t xml:space="preserve">                         </w:t>
      </w:r>
      <w:r>
        <w:rPr>
          <w:rFonts w:ascii="Times New Roman" w:hAnsi="Times New Roman" w:eastAsia="仿宋_GB2312" w:cs="Times New Roman"/>
          <w:b/>
          <w:spacing w:val="-6"/>
          <w:sz w:val="32"/>
          <w:szCs w:val="32"/>
        </w:rPr>
        <w:t>邮政编码：</w:t>
      </w:r>
    </w:p>
    <w:p w14:paraId="157F3494">
      <w:pPr>
        <w:rPr>
          <w:rFonts w:ascii="Times New Roman" w:hAnsi="Times New Roman" w:cs="Times New Roman"/>
        </w:rPr>
      </w:pPr>
    </w:p>
    <w:sectPr>
      <w:footerReference r:id="rId3" w:type="default"/>
      <w:pgSz w:w="11906" w:h="16838"/>
      <w:pgMar w:top="1588" w:right="1474" w:bottom="1588"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0989184"/>
    </w:sdtPr>
    <w:sdtContent>
      <w:p w14:paraId="49CC1AAE">
        <w:pPr>
          <w:pStyle w:val="5"/>
          <w:jc w:val="center"/>
        </w:pPr>
        <w:r>
          <w:fldChar w:fldCharType="begin"/>
        </w:r>
        <w:r>
          <w:instrText xml:space="preserve">PAGE   \* MERGEFORMAT</w:instrText>
        </w:r>
        <w:r>
          <w:fldChar w:fldCharType="separate"/>
        </w:r>
        <w:r>
          <w:rPr>
            <w:lang w:val="zh-CN"/>
          </w:rPr>
          <w:t>7</w:t>
        </w:r>
        <w:r>
          <w:fldChar w:fldCharType="end"/>
        </w:r>
      </w:p>
    </w:sdtContent>
  </w:sdt>
  <w:p w14:paraId="4A667F2C">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wNDgyNmE1NDM0YWMwNDU0Zjg0MGEwNDkyMDg0M2EifQ=="/>
  </w:docVars>
  <w:rsids>
    <w:rsidRoot w:val="004A4CFF"/>
    <w:rsid w:val="000E29AB"/>
    <w:rsid w:val="00141380"/>
    <w:rsid w:val="00156AF8"/>
    <w:rsid w:val="001C7666"/>
    <w:rsid w:val="00237F05"/>
    <w:rsid w:val="003F2140"/>
    <w:rsid w:val="004013EA"/>
    <w:rsid w:val="0048647F"/>
    <w:rsid w:val="004874D5"/>
    <w:rsid w:val="004A4CFF"/>
    <w:rsid w:val="004A7784"/>
    <w:rsid w:val="004B3804"/>
    <w:rsid w:val="004E61B9"/>
    <w:rsid w:val="00561718"/>
    <w:rsid w:val="00590B0C"/>
    <w:rsid w:val="00595121"/>
    <w:rsid w:val="005A7D3F"/>
    <w:rsid w:val="005B722A"/>
    <w:rsid w:val="0061071D"/>
    <w:rsid w:val="00625755"/>
    <w:rsid w:val="00695B97"/>
    <w:rsid w:val="006D6E1B"/>
    <w:rsid w:val="00727728"/>
    <w:rsid w:val="007746C1"/>
    <w:rsid w:val="007C490D"/>
    <w:rsid w:val="00813470"/>
    <w:rsid w:val="00837F7C"/>
    <w:rsid w:val="00863B59"/>
    <w:rsid w:val="008C7F6E"/>
    <w:rsid w:val="008D653B"/>
    <w:rsid w:val="009E43A5"/>
    <w:rsid w:val="00A066B6"/>
    <w:rsid w:val="00A12741"/>
    <w:rsid w:val="00A24041"/>
    <w:rsid w:val="00A954FE"/>
    <w:rsid w:val="00B36DD0"/>
    <w:rsid w:val="00C07A6D"/>
    <w:rsid w:val="00C6763E"/>
    <w:rsid w:val="00CC4664"/>
    <w:rsid w:val="00CC65BF"/>
    <w:rsid w:val="00D43ED0"/>
    <w:rsid w:val="00D743B5"/>
    <w:rsid w:val="00DA0D81"/>
    <w:rsid w:val="00DF19FA"/>
    <w:rsid w:val="00E06812"/>
    <w:rsid w:val="00E93092"/>
    <w:rsid w:val="00EF5BA2"/>
    <w:rsid w:val="00F11BF7"/>
    <w:rsid w:val="00F50382"/>
    <w:rsid w:val="00F65932"/>
    <w:rsid w:val="010A6538"/>
    <w:rsid w:val="011E1FE4"/>
    <w:rsid w:val="015275B6"/>
    <w:rsid w:val="016D6AC7"/>
    <w:rsid w:val="017D4F5C"/>
    <w:rsid w:val="017D7DA0"/>
    <w:rsid w:val="01987FE8"/>
    <w:rsid w:val="01A7022B"/>
    <w:rsid w:val="01CD0F81"/>
    <w:rsid w:val="01EF572E"/>
    <w:rsid w:val="0233386D"/>
    <w:rsid w:val="02421D02"/>
    <w:rsid w:val="0250441F"/>
    <w:rsid w:val="026223A4"/>
    <w:rsid w:val="0295277A"/>
    <w:rsid w:val="02AE1145"/>
    <w:rsid w:val="02EE3C38"/>
    <w:rsid w:val="02F92D08"/>
    <w:rsid w:val="033E071B"/>
    <w:rsid w:val="038D51FF"/>
    <w:rsid w:val="038F541B"/>
    <w:rsid w:val="03977E2B"/>
    <w:rsid w:val="03B10EED"/>
    <w:rsid w:val="03DB0660"/>
    <w:rsid w:val="03DB240E"/>
    <w:rsid w:val="04212517"/>
    <w:rsid w:val="044A30F0"/>
    <w:rsid w:val="046B5540"/>
    <w:rsid w:val="049E3927"/>
    <w:rsid w:val="04A171B4"/>
    <w:rsid w:val="04A46CA4"/>
    <w:rsid w:val="04A96068"/>
    <w:rsid w:val="04CD7FA9"/>
    <w:rsid w:val="04D01847"/>
    <w:rsid w:val="04FA4B16"/>
    <w:rsid w:val="04FC263C"/>
    <w:rsid w:val="05241B93"/>
    <w:rsid w:val="05445D91"/>
    <w:rsid w:val="05740424"/>
    <w:rsid w:val="05B60A3D"/>
    <w:rsid w:val="05DB04A3"/>
    <w:rsid w:val="06450013"/>
    <w:rsid w:val="0696261C"/>
    <w:rsid w:val="06AC0092"/>
    <w:rsid w:val="06BF1B73"/>
    <w:rsid w:val="06BF6017"/>
    <w:rsid w:val="071D689A"/>
    <w:rsid w:val="07852DBD"/>
    <w:rsid w:val="07D94EB6"/>
    <w:rsid w:val="07EC2E3C"/>
    <w:rsid w:val="080F08D8"/>
    <w:rsid w:val="08163A15"/>
    <w:rsid w:val="082C148A"/>
    <w:rsid w:val="08316AA1"/>
    <w:rsid w:val="08485B98"/>
    <w:rsid w:val="085A5FF7"/>
    <w:rsid w:val="0870581B"/>
    <w:rsid w:val="08AC25CB"/>
    <w:rsid w:val="08D31906"/>
    <w:rsid w:val="09095327"/>
    <w:rsid w:val="09273A00"/>
    <w:rsid w:val="095567BF"/>
    <w:rsid w:val="096B7D90"/>
    <w:rsid w:val="099217C1"/>
    <w:rsid w:val="09CF6571"/>
    <w:rsid w:val="0A206DCD"/>
    <w:rsid w:val="0A856C30"/>
    <w:rsid w:val="0A9450C5"/>
    <w:rsid w:val="0AC0235E"/>
    <w:rsid w:val="0B065FC2"/>
    <w:rsid w:val="0B2C354F"/>
    <w:rsid w:val="0B494101"/>
    <w:rsid w:val="0B52745A"/>
    <w:rsid w:val="0B7F3FC7"/>
    <w:rsid w:val="0B8909A2"/>
    <w:rsid w:val="0BB01571"/>
    <w:rsid w:val="0BC55E7E"/>
    <w:rsid w:val="0BD1074A"/>
    <w:rsid w:val="0BE8391A"/>
    <w:rsid w:val="0C324B95"/>
    <w:rsid w:val="0C632FA1"/>
    <w:rsid w:val="0C965124"/>
    <w:rsid w:val="0CA535B9"/>
    <w:rsid w:val="0CAF61E6"/>
    <w:rsid w:val="0D1150F2"/>
    <w:rsid w:val="0D1D5845"/>
    <w:rsid w:val="0D4508F8"/>
    <w:rsid w:val="0D660F9A"/>
    <w:rsid w:val="0D6C40D7"/>
    <w:rsid w:val="0D837D9E"/>
    <w:rsid w:val="0E651252"/>
    <w:rsid w:val="0E9D4E90"/>
    <w:rsid w:val="0EB775D4"/>
    <w:rsid w:val="0EF645A0"/>
    <w:rsid w:val="0F114F36"/>
    <w:rsid w:val="0F2A5FF8"/>
    <w:rsid w:val="0F2D7E01"/>
    <w:rsid w:val="0F307AB2"/>
    <w:rsid w:val="0F3D21CF"/>
    <w:rsid w:val="0F5372FC"/>
    <w:rsid w:val="0F5A68DD"/>
    <w:rsid w:val="0F6A2898"/>
    <w:rsid w:val="0F757FCC"/>
    <w:rsid w:val="0F847DFE"/>
    <w:rsid w:val="0FAB7138"/>
    <w:rsid w:val="0FC71A98"/>
    <w:rsid w:val="0FE12B5A"/>
    <w:rsid w:val="0FFA1E6E"/>
    <w:rsid w:val="101007DB"/>
    <w:rsid w:val="10572E1C"/>
    <w:rsid w:val="10B71725"/>
    <w:rsid w:val="10F22B45"/>
    <w:rsid w:val="11603F53"/>
    <w:rsid w:val="11776C44"/>
    <w:rsid w:val="119360D6"/>
    <w:rsid w:val="119A3908"/>
    <w:rsid w:val="11B54A9B"/>
    <w:rsid w:val="11FA7F03"/>
    <w:rsid w:val="125910CE"/>
    <w:rsid w:val="125A4E46"/>
    <w:rsid w:val="127F665A"/>
    <w:rsid w:val="12A12A75"/>
    <w:rsid w:val="12AF0CEE"/>
    <w:rsid w:val="12B04A66"/>
    <w:rsid w:val="12E5461B"/>
    <w:rsid w:val="12F11306"/>
    <w:rsid w:val="1356385F"/>
    <w:rsid w:val="1360648C"/>
    <w:rsid w:val="13B16CE7"/>
    <w:rsid w:val="13CB7DA9"/>
    <w:rsid w:val="14011A1D"/>
    <w:rsid w:val="141554C8"/>
    <w:rsid w:val="14290F74"/>
    <w:rsid w:val="143F60A1"/>
    <w:rsid w:val="144162BD"/>
    <w:rsid w:val="144475F3"/>
    <w:rsid w:val="14B153A7"/>
    <w:rsid w:val="14B20F69"/>
    <w:rsid w:val="14CF5677"/>
    <w:rsid w:val="14D7452C"/>
    <w:rsid w:val="14F275B8"/>
    <w:rsid w:val="150C68CB"/>
    <w:rsid w:val="150D619F"/>
    <w:rsid w:val="152D239E"/>
    <w:rsid w:val="1534197E"/>
    <w:rsid w:val="15393438"/>
    <w:rsid w:val="155618F4"/>
    <w:rsid w:val="15785D0F"/>
    <w:rsid w:val="15CE1DD3"/>
    <w:rsid w:val="15EE7D7F"/>
    <w:rsid w:val="15FF1F8C"/>
    <w:rsid w:val="162B4B2F"/>
    <w:rsid w:val="16493207"/>
    <w:rsid w:val="1683496B"/>
    <w:rsid w:val="169721C5"/>
    <w:rsid w:val="16AE750E"/>
    <w:rsid w:val="16BF796D"/>
    <w:rsid w:val="16F13FCB"/>
    <w:rsid w:val="1720665E"/>
    <w:rsid w:val="174054EB"/>
    <w:rsid w:val="17485BB5"/>
    <w:rsid w:val="177469AA"/>
    <w:rsid w:val="17C27715"/>
    <w:rsid w:val="180E64B6"/>
    <w:rsid w:val="18463EA2"/>
    <w:rsid w:val="187C5B16"/>
    <w:rsid w:val="18860743"/>
    <w:rsid w:val="189E3CDE"/>
    <w:rsid w:val="18E35B95"/>
    <w:rsid w:val="19202945"/>
    <w:rsid w:val="192B12EA"/>
    <w:rsid w:val="19375EE1"/>
    <w:rsid w:val="195425EF"/>
    <w:rsid w:val="19687E48"/>
    <w:rsid w:val="196F7429"/>
    <w:rsid w:val="198033E4"/>
    <w:rsid w:val="19831126"/>
    <w:rsid w:val="1991739F"/>
    <w:rsid w:val="19BB441C"/>
    <w:rsid w:val="1A257EA7"/>
    <w:rsid w:val="1A840CB2"/>
    <w:rsid w:val="1A954C6D"/>
    <w:rsid w:val="1ABF1CEA"/>
    <w:rsid w:val="1AC76DF0"/>
    <w:rsid w:val="1B100797"/>
    <w:rsid w:val="1B6C00C4"/>
    <w:rsid w:val="1B8076CB"/>
    <w:rsid w:val="1BC17CE4"/>
    <w:rsid w:val="1C2E5379"/>
    <w:rsid w:val="1C330BE1"/>
    <w:rsid w:val="1C542906"/>
    <w:rsid w:val="1CB57848"/>
    <w:rsid w:val="1CC7132A"/>
    <w:rsid w:val="1CDC4DD5"/>
    <w:rsid w:val="1CE57679"/>
    <w:rsid w:val="1CE7377A"/>
    <w:rsid w:val="1D01483C"/>
    <w:rsid w:val="1D077978"/>
    <w:rsid w:val="1D1A7BEF"/>
    <w:rsid w:val="1D4806BC"/>
    <w:rsid w:val="1D6A0633"/>
    <w:rsid w:val="1D890952"/>
    <w:rsid w:val="1D9E652E"/>
    <w:rsid w:val="1DA43419"/>
    <w:rsid w:val="1E0068A1"/>
    <w:rsid w:val="1E08464C"/>
    <w:rsid w:val="1E0A6AF0"/>
    <w:rsid w:val="1E1B7B7F"/>
    <w:rsid w:val="1E1E4F79"/>
    <w:rsid w:val="1E62755C"/>
    <w:rsid w:val="1E82375A"/>
    <w:rsid w:val="1E937715"/>
    <w:rsid w:val="1E9516DF"/>
    <w:rsid w:val="1ECA6EAF"/>
    <w:rsid w:val="1ECC0E79"/>
    <w:rsid w:val="1EDA5344"/>
    <w:rsid w:val="1EE6018D"/>
    <w:rsid w:val="1EF04B68"/>
    <w:rsid w:val="1F1C595D"/>
    <w:rsid w:val="1F264A2D"/>
    <w:rsid w:val="1F470500"/>
    <w:rsid w:val="1F6E1F30"/>
    <w:rsid w:val="1F8359DC"/>
    <w:rsid w:val="1F8654CC"/>
    <w:rsid w:val="1FBF278C"/>
    <w:rsid w:val="1FDF3AE9"/>
    <w:rsid w:val="202820DF"/>
    <w:rsid w:val="202D1DEC"/>
    <w:rsid w:val="202F346E"/>
    <w:rsid w:val="2031368A"/>
    <w:rsid w:val="20340A84"/>
    <w:rsid w:val="20586E69"/>
    <w:rsid w:val="206C46C2"/>
    <w:rsid w:val="20827A42"/>
    <w:rsid w:val="20AC4ABE"/>
    <w:rsid w:val="20B147CB"/>
    <w:rsid w:val="210448FA"/>
    <w:rsid w:val="2149055F"/>
    <w:rsid w:val="215F7EE1"/>
    <w:rsid w:val="217C26E3"/>
    <w:rsid w:val="217F21D3"/>
    <w:rsid w:val="21D267A7"/>
    <w:rsid w:val="221B63A0"/>
    <w:rsid w:val="22265B0E"/>
    <w:rsid w:val="225B49EE"/>
    <w:rsid w:val="229D0DC1"/>
    <w:rsid w:val="22EC5646"/>
    <w:rsid w:val="22FA21AD"/>
    <w:rsid w:val="237B69CA"/>
    <w:rsid w:val="23AB06D1"/>
    <w:rsid w:val="23CD36CA"/>
    <w:rsid w:val="23CE2F9E"/>
    <w:rsid w:val="23E97DD8"/>
    <w:rsid w:val="23F073B8"/>
    <w:rsid w:val="23FE1AD5"/>
    <w:rsid w:val="241035B6"/>
    <w:rsid w:val="244D65B8"/>
    <w:rsid w:val="24653902"/>
    <w:rsid w:val="2483647E"/>
    <w:rsid w:val="24BB1774"/>
    <w:rsid w:val="24BE3012"/>
    <w:rsid w:val="24C85C3F"/>
    <w:rsid w:val="24CE594B"/>
    <w:rsid w:val="24FB7DC2"/>
    <w:rsid w:val="250F3C45"/>
    <w:rsid w:val="255F65A3"/>
    <w:rsid w:val="25755DC7"/>
    <w:rsid w:val="25783B09"/>
    <w:rsid w:val="25875AFA"/>
    <w:rsid w:val="25CE54D7"/>
    <w:rsid w:val="25D24FC7"/>
    <w:rsid w:val="25EF3DCB"/>
    <w:rsid w:val="25F27417"/>
    <w:rsid w:val="25F27756"/>
    <w:rsid w:val="266D6A9E"/>
    <w:rsid w:val="26DE5BEE"/>
    <w:rsid w:val="26E33204"/>
    <w:rsid w:val="27090EBD"/>
    <w:rsid w:val="270C62B7"/>
    <w:rsid w:val="271138CD"/>
    <w:rsid w:val="27441EF5"/>
    <w:rsid w:val="275D4D64"/>
    <w:rsid w:val="27675BE3"/>
    <w:rsid w:val="27893DAB"/>
    <w:rsid w:val="27A75FE0"/>
    <w:rsid w:val="27D94D34"/>
    <w:rsid w:val="281F64BE"/>
    <w:rsid w:val="284101E2"/>
    <w:rsid w:val="28BC5ABB"/>
    <w:rsid w:val="28D64E47"/>
    <w:rsid w:val="28F214DC"/>
    <w:rsid w:val="29387837"/>
    <w:rsid w:val="29564161"/>
    <w:rsid w:val="29911D31"/>
    <w:rsid w:val="29A273A6"/>
    <w:rsid w:val="29C26BA5"/>
    <w:rsid w:val="29C76E0D"/>
    <w:rsid w:val="29FF0355"/>
    <w:rsid w:val="2A3F69A3"/>
    <w:rsid w:val="2A5E32CD"/>
    <w:rsid w:val="2A781EB5"/>
    <w:rsid w:val="2ADE61BC"/>
    <w:rsid w:val="2B076FF0"/>
    <w:rsid w:val="2B0A07EC"/>
    <w:rsid w:val="2B146082"/>
    <w:rsid w:val="2B163BA8"/>
    <w:rsid w:val="2B253DEB"/>
    <w:rsid w:val="2B397896"/>
    <w:rsid w:val="2B3B716B"/>
    <w:rsid w:val="2B3E6C5B"/>
    <w:rsid w:val="2B620B9B"/>
    <w:rsid w:val="2B996587"/>
    <w:rsid w:val="2BB67139"/>
    <w:rsid w:val="2BD96984"/>
    <w:rsid w:val="2BEE68D3"/>
    <w:rsid w:val="2BF57C61"/>
    <w:rsid w:val="2C155C0E"/>
    <w:rsid w:val="2C1A76C8"/>
    <w:rsid w:val="2C2E4F21"/>
    <w:rsid w:val="2C862667"/>
    <w:rsid w:val="2C923702"/>
    <w:rsid w:val="2C9C632F"/>
    <w:rsid w:val="2C9F5E1F"/>
    <w:rsid w:val="2C9F7BCD"/>
    <w:rsid w:val="2D3E2F42"/>
    <w:rsid w:val="2D5B7F98"/>
    <w:rsid w:val="2D6D1A79"/>
    <w:rsid w:val="2D7B4196"/>
    <w:rsid w:val="2D940DB4"/>
    <w:rsid w:val="2DD37B2E"/>
    <w:rsid w:val="2E163EBF"/>
    <w:rsid w:val="2E2C723F"/>
    <w:rsid w:val="2E3305CD"/>
    <w:rsid w:val="2E4E3659"/>
    <w:rsid w:val="2E532A1D"/>
    <w:rsid w:val="2E755089"/>
    <w:rsid w:val="2E921798"/>
    <w:rsid w:val="2EB57234"/>
    <w:rsid w:val="2F2B1BEC"/>
    <w:rsid w:val="2F5C3B54"/>
    <w:rsid w:val="2F7610B9"/>
    <w:rsid w:val="2F9652B7"/>
    <w:rsid w:val="2FAB0637"/>
    <w:rsid w:val="305A62E5"/>
    <w:rsid w:val="309F019C"/>
    <w:rsid w:val="31046251"/>
    <w:rsid w:val="310B75DF"/>
    <w:rsid w:val="311961A0"/>
    <w:rsid w:val="31322DBE"/>
    <w:rsid w:val="316B2774"/>
    <w:rsid w:val="318F0210"/>
    <w:rsid w:val="31BB2DB3"/>
    <w:rsid w:val="32024E86"/>
    <w:rsid w:val="320F75A3"/>
    <w:rsid w:val="32313075"/>
    <w:rsid w:val="328B4E7C"/>
    <w:rsid w:val="32963820"/>
    <w:rsid w:val="32B1065A"/>
    <w:rsid w:val="32C20171"/>
    <w:rsid w:val="32D57EA5"/>
    <w:rsid w:val="32F742BF"/>
    <w:rsid w:val="338813BB"/>
    <w:rsid w:val="339A10EE"/>
    <w:rsid w:val="33BC72B7"/>
    <w:rsid w:val="33C164C7"/>
    <w:rsid w:val="33DD1D36"/>
    <w:rsid w:val="344828F8"/>
    <w:rsid w:val="349618B6"/>
    <w:rsid w:val="34AC2E87"/>
    <w:rsid w:val="34B65AB4"/>
    <w:rsid w:val="34D128EE"/>
    <w:rsid w:val="351F7AFD"/>
    <w:rsid w:val="35366BF5"/>
    <w:rsid w:val="35683252"/>
    <w:rsid w:val="35B9585C"/>
    <w:rsid w:val="35C44201"/>
    <w:rsid w:val="35C97A69"/>
    <w:rsid w:val="35FB40C6"/>
    <w:rsid w:val="3627310D"/>
    <w:rsid w:val="362F5B1E"/>
    <w:rsid w:val="365E28A7"/>
    <w:rsid w:val="36853990"/>
    <w:rsid w:val="368857DA"/>
    <w:rsid w:val="369411B6"/>
    <w:rsid w:val="36D466C5"/>
    <w:rsid w:val="36DF7544"/>
    <w:rsid w:val="37101AAB"/>
    <w:rsid w:val="371D1E1A"/>
    <w:rsid w:val="37272C99"/>
    <w:rsid w:val="373F7FE3"/>
    <w:rsid w:val="375C0B95"/>
    <w:rsid w:val="37A4253C"/>
    <w:rsid w:val="37F30DCD"/>
    <w:rsid w:val="37FF7772"/>
    <w:rsid w:val="38044D88"/>
    <w:rsid w:val="38066D52"/>
    <w:rsid w:val="382C4A0B"/>
    <w:rsid w:val="38710670"/>
    <w:rsid w:val="38BB5D8F"/>
    <w:rsid w:val="38C56C0D"/>
    <w:rsid w:val="38DB01DF"/>
    <w:rsid w:val="38FB618B"/>
    <w:rsid w:val="39237EB6"/>
    <w:rsid w:val="397523E2"/>
    <w:rsid w:val="39D07618"/>
    <w:rsid w:val="39FF1CAB"/>
    <w:rsid w:val="3A06128C"/>
    <w:rsid w:val="3A105C66"/>
    <w:rsid w:val="3A3B3B69"/>
    <w:rsid w:val="3A500759"/>
    <w:rsid w:val="3A60099C"/>
    <w:rsid w:val="3A8F1281"/>
    <w:rsid w:val="3ACE7FFB"/>
    <w:rsid w:val="3ADB6274"/>
    <w:rsid w:val="3B251BE5"/>
    <w:rsid w:val="3B4F27BE"/>
    <w:rsid w:val="3B9052B1"/>
    <w:rsid w:val="3B9A612F"/>
    <w:rsid w:val="3BB52F69"/>
    <w:rsid w:val="3BBB7E54"/>
    <w:rsid w:val="3BEB0739"/>
    <w:rsid w:val="3C2679C3"/>
    <w:rsid w:val="3C502C92"/>
    <w:rsid w:val="3C8841DA"/>
    <w:rsid w:val="3CB40325"/>
    <w:rsid w:val="3CBF31D5"/>
    <w:rsid w:val="3CC316B6"/>
    <w:rsid w:val="3CDC4526"/>
    <w:rsid w:val="3D22462E"/>
    <w:rsid w:val="3D4225DB"/>
    <w:rsid w:val="3D463087"/>
    <w:rsid w:val="3D891FB8"/>
    <w:rsid w:val="3DA54918"/>
    <w:rsid w:val="3E173A67"/>
    <w:rsid w:val="3E210442"/>
    <w:rsid w:val="3E2D53F7"/>
    <w:rsid w:val="3E416D36"/>
    <w:rsid w:val="3E5C147A"/>
    <w:rsid w:val="3E614CE2"/>
    <w:rsid w:val="3E846C23"/>
    <w:rsid w:val="3EAB0654"/>
    <w:rsid w:val="3EAD43CC"/>
    <w:rsid w:val="3F1E0E25"/>
    <w:rsid w:val="3F2A6A9A"/>
    <w:rsid w:val="3F4343E8"/>
    <w:rsid w:val="3F520ACF"/>
    <w:rsid w:val="3F5B7984"/>
    <w:rsid w:val="3F882BED"/>
    <w:rsid w:val="3F892743"/>
    <w:rsid w:val="3FA07A8C"/>
    <w:rsid w:val="3FBA5CEB"/>
    <w:rsid w:val="3FBD063E"/>
    <w:rsid w:val="3FE536F1"/>
    <w:rsid w:val="408829FA"/>
    <w:rsid w:val="40BF2194"/>
    <w:rsid w:val="40D774DE"/>
    <w:rsid w:val="40E13EB9"/>
    <w:rsid w:val="40F40090"/>
    <w:rsid w:val="41197AF6"/>
    <w:rsid w:val="41A708F9"/>
    <w:rsid w:val="42072045"/>
    <w:rsid w:val="420E6F2F"/>
    <w:rsid w:val="421F2EEA"/>
    <w:rsid w:val="42204EB5"/>
    <w:rsid w:val="42206C63"/>
    <w:rsid w:val="422624CB"/>
    <w:rsid w:val="423A41C8"/>
    <w:rsid w:val="425F3C2F"/>
    <w:rsid w:val="427F607F"/>
    <w:rsid w:val="428B67D2"/>
    <w:rsid w:val="42B75819"/>
    <w:rsid w:val="43095949"/>
    <w:rsid w:val="43282273"/>
    <w:rsid w:val="432A7D99"/>
    <w:rsid w:val="432F53AF"/>
    <w:rsid w:val="439E42E3"/>
    <w:rsid w:val="43AA2C88"/>
    <w:rsid w:val="43E77A38"/>
    <w:rsid w:val="43EA7528"/>
    <w:rsid w:val="440C56F0"/>
    <w:rsid w:val="44305883"/>
    <w:rsid w:val="44380293"/>
    <w:rsid w:val="447357CF"/>
    <w:rsid w:val="449C6A74"/>
    <w:rsid w:val="449D27EC"/>
    <w:rsid w:val="44D04970"/>
    <w:rsid w:val="44E81CBA"/>
    <w:rsid w:val="44EC107E"/>
    <w:rsid w:val="44EE3048"/>
    <w:rsid w:val="44F248E6"/>
    <w:rsid w:val="452151CC"/>
    <w:rsid w:val="454F3AE7"/>
    <w:rsid w:val="45763769"/>
    <w:rsid w:val="457C4AF8"/>
    <w:rsid w:val="45965BB9"/>
    <w:rsid w:val="4597723C"/>
    <w:rsid w:val="45CE5353"/>
    <w:rsid w:val="45DE4E6B"/>
    <w:rsid w:val="45E701C3"/>
    <w:rsid w:val="461D5993"/>
    <w:rsid w:val="4631143E"/>
    <w:rsid w:val="46386C71"/>
    <w:rsid w:val="463D7DE3"/>
    <w:rsid w:val="4685178A"/>
    <w:rsid w:val="469519CD"/>
    <w:rsid w:val="46C91677"/>
    <w:rsid w:val="46F26E20"/>
    <w:rsid w:val="4729480B"/>
    <w:rsid w:val="47431429"/>
    <w:rsid w:val="47596E9F"/>
    <w:rsid w:val="477535AD"/>
    <w:rsid w:val="47960D64"/>
    <w:rsid w:val="47A520E4"/>
    <w:rsid w:val="47C3256A"/>
    <w:rsid w:val="47C87B80"/>
    <w:rsid w:val="47EA7AF7"/>
    <w:rsid w:val="480C2163"/>
    <w:rsid w:val="4812704D"/>
    <w:rsid w:val="481903DC"/>
    <w:rsid w:val="4839282C"/>
    <w:rsid w:val="483B0352"/>
    <w:rsid w:val="483B47F6"/>
    <w:rsid w:val="484A67E7"/>
    <w:rsid w:val="4884619D"/>
    <w:rsid w:val="48A73C3A"/>
    <w:rsid w:val="48B60321"/>
    <w:rsid w:val="48BD16AF"/>
    <w:rsid w:val="48F03833"/>
    <w:rsid w:val="48F7696F"/>
    <w:rsid w:val="490177EE"/>
    <w:rsid w:val="491F1A22"/>
    <w:rsid w:val="493A4AAE"/>
    <w:rsid w:val="4941408E"/>
    <w:rsid w:val="495E079C"/>
    <w:rsid w:val="499C3073"/>
    <w:rsid w:val="49C820BA"/>
    <w:rsid w:val="49CC7DFC"/>
    <w:rsid w:val="49EB5C7E"/>
    <w:rsid w:val="4A2D63C1"/>
    <w:rsid w:val="4A34774F"/>
    <w:rsid w:val="4A3D2AA8"/>
    <w:rsid w:val="4A4F4589"/>
    <w:rsid w:val="4AB80380"/>
    <w:rsid w:val="4B217CD3"/>
    <w:rsid w:val="4B26353C"/>
    <w:rsid w:val="4B3F45FD"/>
    <w:rsid w:val="4B63653E"/>
    <w:rsid w:val="4B9304A5"/>
    <w:rsid w:val="4BAD134B"/>
    <w:rsid w:val="4BAF1783"/>
    <w:rsid w:val="4C26756B"/>
    <w:rsid w:val="4C453E95"/>
    <w:rsid w:val="4C6065D9"/>
    <w:rsid w:val="4C96649F"/>
    <w:rsid w:val="4C991AEB"/>
    <w:rsid w:val="4CC96874"/>
    <w:rsid w:val="4CD07C03"/>
    <w:rsid w:val="4D106251"/>
    <w:rsid w:val="4D1473C4"/>
    <w:rsid w:val="4D265A75"/>
    <w:rsid w:val="4D27359B"/>
    <w:rsid w:val="4D3006A2"/>
    <w:rsid w:val="4D31441A"/>
    <w:rsid w:val="4D341814"/>
    <w:rsid w:val="4D4C4DB0"/>
    <w:rsid w:val="4D5C3245"/>
    <w:rsid w:val="4D697710"/>
    <w:rsid w:val="4DC67082"/>
    <w:rsid w:val="4DF23BA9"/>
    <w:rsid w:val="4E061402"/>
    <w:rsid w:val="4E2C02B4"/>
    <w:rsid w:val="4E824F2D"/>
    <w:rsid w:val="4E8A5B90"/>
    <w:rsid w:val="4EC310A1"/>
    <w:rsid w:val="4F132029"/>
    <w:rsid w:val="4F195165"/>
    <w:rsid w:val="4F195FF9"/>
    <w:rsid w:val="4F1E452A"/>
    <w:rsid w:val="4F391364"/>
    <w:rsid w:val="4F642884"/>
    <w:rsid w:val="4F934F18"/>
    <w:rsid w:val="4FA9473B"/>
    <w:rsid w:val="4FAD422B"/>
    <w:rsid w:val="4FAD5FDA"/>
    <w:rsid w:val="4FB01713"/>
    <w:rsid w:val="4FBE01E7"/>
    <w:rsid w:val="4FC41575"/>
    <w:rsid w:val="4FF9121F"/>
    <w:rsid w:val="4FFA6D45"/>
    <w:rsid w:val="50146059"/>
    <w:rsid w:val="501E0C85"/>
    <w:rsid w:val="50212524"/>
    <w:rsid w:val="505955D2"/>
    <w:rsid w:val="505C7A00"/>
    <w:rsid w:val="50622A73"/>
    <w:rsid w:val="50666188"/>
    <w:rsid w:val="50A32F39"/>
    <w:rsid w:val="50AF5D81"/>
    <w:rsid w:val="50B43398"/>
    <w:rsid w:val="50E7376D"/>
    <w:rsid w:val="510065DD"/>
    <w:rsid w:val="511A58F1"/>
    <w:rsid w:val="514364CA"/>
    <w:rsid w:val="515C2E14"/>
    <w:rsid w:val="51646B6C"/>
    <w:rsid w:val="51AE7DE7"/>
    <w:rsid w:val="51BF3DA2"/>
    <w:rsid w:val="5281560B"/>
    <w:rsid w:val="52831274"/>
    <w:rsid w:val="528A2602"/>
    <w:rsid w:val="52F7756C"/>
    <w:rsid w:val="53065A01"/>
    <w:rsid w:val="531254ED"/>
    <w:rsid w:val="5325232B"/>
    <w:rsid w:val="534A3B3F"/>
    <w:rsid w:val="5351176A"/>
    <w:rsid w:val="536C61AC"/>
    <w:rsid w:val="538A03E0"/>
    <w:rsid w:val="53A70F92"/>
    <w:rsid w:val="53F73CC7"/>
    <w:rsid w:val="541977FF"/>
    <w:rsid w:val="54370568"/>
    <w:rsid w:val="543F3071"/>
    <w:rsid w:val="54520EFE"/>
    <w:rsid w:val="54613836"/>
    <w:rsid w:val="54901A26"/>
    <w:rsid w:val="54DC4C6B"/>
    <w:rsid w:val="54F75F49"/>
    <w:rsid w:val="555962BC"/>
    <w:rsid w:val="55A734CB"/>
    <w:rsid w:val="55E71B19"/>
    <w:rsid w:val="55FF50B5"/>
    <w:rsid w:val="55FF6E63"/>
    <w:rsid w:val="56026953"/>
    <w:rsid w:val="56051FA0"/>
    <w:rsid w:val="5612303A"/>
    <w:rsid w:val="56A874FB"/>
    <w:rsid w:val="56C65BD3"/>
    <w:rsid w:val="56EB73E7"/>
    <w:rsid w:val="573541B2"/>
    <w:rsid w:val="573C7C43"/>
    <w:rsid w:val="5791607D"/>
    <w:rsid w:val="57A06424"/>
    <w:rsid w:val="57AE6D93"/>
    <w:rsid w:val="5838665C"/>
    <w:rsid w:val="585F1E3B"/>
    <w:rsid w:val="58B93579"/>
    <w:rsid w:val="58E32A6C"/>
    <w:rsid w:val="58E81E30"/>
    <w:rsid w:val="591C41D0"/>
    <w:rsid w:val="594828CF"/>
    <w:rsid w:val="595E0345"/>
    <w:rsid w:val="5967369D"/>
    <w:rsid w:val="596B480F"/>
    <w:rsid w:val="597506E7"/>
    <w:rsid w:val="59A3044D"/>
    <w:rsid w:val="59BB12F3"/>
    <w:rsid w:val="59FD5DAF"/>
    <w:rsid w:val="5A0A04CC"/>
    <w:rsid w:val="5A201A9E"/>
    <w:rsid w:val="5A24333C"/>
    <w:rsid w:val="5A8E2EAB"/>
    <w:rsid w:val="5AA24261"/>
    <w:rsid w:val="5ABD1400"/>
    <w:rsid w:val="5AC02939"/>
    <w:rsid w:val="5AD21D23"/>
    <w:rsid w:val="5AE12FDB"/>
    <w:rsid w:val="5AEB5C08"/>
    <w:rsid w:val="5AF50835"/>
    <w:rsid w:val="5B296730"/>
    <w:rsid w:val="5B433C96"/>
    <w:rsid w:val="5BBC1352"/>
    <w:rsid w:val="5BD771F3"/>
    <w:rsid w:val="5BDC19F5"/>
    <w:rsid w:val="5BF31218"/>
    <w:rsid w:val="5BF907F8"/>
    <w:rsid w:val="5C2D3FFE"/>
    <w:rsid w:val="5CA72002"/>
    <w:rsid w:val="5CCE3A33"/>
    <w:rsid w:val="5D1F603D"/>
    <w:rsid w:val="5D235B2D"/>
    <w:rsid w:val="5D5850AB"/>
    <w:rsid w:val="5EC46E9C"/>
    <w:rsid w:val="5F261904"/>
    <w:rsid w:val="5F49114F"/>
    <w:rsid w:val="5F797C86"/>
    <w:rsid w:val="5FB567E4"/>
    <w:rsid w:val="5FE7717A"/>
    <w:rsid w:val="60E27AAD"/>
    <w:rsid w:val="61A84853"/>
    <w:rsid w:val="61C62F2B"/>
    <w:rsid w:val="61EA6C19"/>
    <w:rsid w:val="621517BC"/>
    <w:rsid w:val="623054B0"/>
    <w:rsid w:val="625B7B17"/>
    <w:rsid w:val="625E7607"/>
    <w:rsid w:val="626544F2"/>
    <w:rsid w:val="62816E52"/>
    <w:rsid w:val="62913539"/>
    <w:rsid w:val="62946B85"/>
    <w:rsid w:val="62B66AFB"/>
    <w:rsid w:val="62C0797A"/>
    <w:rsid w:val="62EC69C1"/>
    <w:rsid w:val="633F4D43"/>
    <w:rsid w:val="634560D1"/>
    <w:rsid w:val="634755A4"/>
    <w:rsid w:val="635B58F5"/>
    <w:rsid w:val="635F53E5"/>
    <w:rsid w:val="63732C3E"/>
    <w:rsid w:val="639A01CB"/>
    <w:rsid w:val="63A70B3A"/>
    <w:rsid w:val="63DC4C88"/>
    <w:rsid w:val="63F57AF7"/>
    <w:rsid w:val="63FC0E86"/>
    <w:rsid w:val="64086AC7"/>
    <w:rsid w:val="64502F80"/>
    <w:rsid w:val="64542A70"/>
    <w:rsid w:val="6470717E"/>
    <w:rsid w:val="647A1DAB"/>
    <w:rsid w:val="647C3D75"/>
    <w:rsid w:val="64A137DB"/>
    <w:rsid w:val="64EA5182"/>
    <w:rsid w:val="650224CC"/>
    <w:rsid w:val="651D7306"/>
    <w:rsid w:val="65257F68"/>
    <w:rsid w:val="65387C9C"/>
    <w:rsid w:val="659A0956"/>
    <w:rsid w:val="65B35574"/>
    <w:rsid w:val="65B512EC"/>
    <w:rsid w:val="65C321BE"/>
    <w:rsid w:val="65F20792"/>
    <w:rsid w:val="66014531"/>
    <w:rsid w:val="66094DDC"/>
    <w:rsid w:val="66173D55"/>
    <w:rsid w:val="6650370B"/>
    <w:rsid w:val="667B0788"/>
    <w:rsid w:val="667C005C"/>
    <w:rsid w:val="669B6178"/>
    <w:rsid w:val="66A15D14"/>
    <w:rsid w:val="66A17AC3"/>
    <w:rsid w:val="66B45A48"/>
    <w:rsid w:val="66B94E0C"/>
    <w:rsid w:val="670F2C7E"/>
    <w:rsid w:val="67313B0C"/>
    <w:rsid w:val="67401089"/>
    <w:rsid w:val="674A63AC"/>
    <w:rsid w:val="675863D3"/>
    <w:rsid w:val="679C6C08"/>
    <w:rsid w:val="68104F00"/>
    <w:rsid w:val="681C5653"/>
    <w:rsid w:val="68B357AC"/>
    <w:rsid w:val="68B47F81"/>
    <w:rsid w:val="68D777CC"/>
    <w:rsid w:val="68FE2FAA"/>
    <w:rsid w:val="69053470"/>
    <w:rsid w:val="692073C4"/>
    <w:rsid w:val="692C7B17"/>
    <w:rsid w:val="69831701"/>
    <w:rsid w:val="69B8584F"/>
    <w:rsid w:val="69E00902"/>
    <w:rsid w:val="6A575068"/>
    <w:rsid w:val="6A5C442C"/>
    <w:rsid w:val="6A6B28C1"/>
    <w:rsid w:val="6A8676FB"/>
    <w:rsid w:val="6ABC4ECB"/>
    <w:rsid w:val="6AE52674"/>
    <w:rsid w:val="6AE85CC0"/>
    <w:rsid w:val="6B182A49"/>
    <w:rsid w:val="6B1C1E0E"/>
    <w:rsid w:val="6B2D401B"/>
    <w:rsid w:val="6B5141E1"/>
    <w:rsid w:val="6B673089"/>
    <w:rsid w:val="6B8D6867"/>
    <w:rsid w:val="6BFF59B7"/>
    <w:rsid w:val="6C2471CC"/>
    <w:rsid w:val="6C2C7E2E"/>
    <w:rsid w:val="6C53185F"/>
    <w:rsid w:val="6C924135"/>
    <w:rsid w:val="6CC410C6"/>
    <w:rsid w:val="6CCE7137"/>
    <w:rsid w:val="6CD504C6"/>
    <w:rsid w:val="6CEA21C3"/>
    <w:rsid w:val="6CED1CB3"/>
    <w:rsid w:val="6CEF1525"/>
    <w:rsid w:val="6D286848"/>
    <w:rsid w:val="6D9B170F"/>
    <w:rsid w:val="6DB225B5"/>
    <w:rsid w:val="6DD864C0"/>
    <w:rsid w:val="6E14501E"/>
    <w:rsid w:val="6EA168B2"/>
    <w:rsid w:val="6EAD16FA"/>
    <w:rsid w:val="6EB32A89"/>
    <w:rsid w:val="6ED00F45"/>
    <w:rsid w:val="6ED053E9"/>
    <w:rsid w:val="6EFF182A"/>
    <w:rsid w:val="6F0D3F47"/>
    <w:rsid w:val="6F6873CF"/>
    <w:rsid w:val="6F767D3E"/>
    <w:rsid w:val="6F863CF9"/>
    <w:rsid w:val="6FAD1286"/>
    <w:rsid w:val="70251764"/>
    <w:rsid w:val="703B0F88"/>
    <w:rsid w:val="7040034C"/>
    <w:rsid w:val="70531E2E"/>
    <w:rsid w:val="7075449A"/>
    <w:rsid w:val="708E730A"/>
    <w:rsid w:val="70903082"/>
    <w:rsid w:val="70934920"/>
    <w:rsid w:val="70F96E79"/>
    <w:rsid w:val="711041C2"/>
    <w:rsid w:val="71107458"/>
    <w:rsid w:val="71597917"/>
    <w:rsid w:val="71614A1E"/>
    <w:rsid w:val="718129CA"/>
    <w:rsid w:val="71C034F3"/>
    <w:rsid w:val="71D92806"/>
    <w:rsid w:val="71EF3DD8"/>
    <w:rsid w:val="71F907B3"/>
    <w:rsid w:val="72227D09"/>
    <w:rsid w:val="72404633"/>
    <w:rsid w:val="724063E2"/>
    <w:rsid w:val="725F0F5E"/>
    <w:rsid w:val="72677E12"/>
    <w:rsid w:val="7270316B"/>
    <w:rsid w:val="72C40DC1"/>
    <w:rsid w:val="72E17BC5"/>
    <w:rsid w:val="7327134F"/>
    <w:rsid w:val="73840550"/>
    <w:rsid w:val="73903399"/>
    <w:rsid w:val="73972979"/>
    <w:rsid w:val="73BF387B"/>
    <w:rsid w:val="73CF1701"/>
    <w:rsid w:val="73ED4347"/>
    <w:rsid w:val="740F250F"/>
    <w:rsid w:val="744F6DB0"/>
    <w:rsid w:val="747D1B6F"/>
    <w:rsid w:val="74B135C7"/>
    <w:rsid w:val="74B310ED"/>
    <w:rsid w:val="74FA4F6E"/>
    <w:rsid w:val="75041948"/>
    <w:rsid w:val="75063912"/>
    <w:rsid w:val="75137DDD"/>
    <w:rsid w:val="7521074C"/>
    <w:rsid w:val="75C80BC8"/>
    <w:rsid w:val="75D05CCE"/>
    <w:rsid w:val="75DE488F"/>
    <w:rsid w:val="75EB48B6"/>
    <w:rsid w:val="75F93477"/>
    <w:rsid w:val="761958C7"/>
    <w:rsid w:val="76200A04"/>
    <w:rsid w:val="767B0330"/>
    <w:rsid w:val="767E572A"/>
    <w:rsid w:val="768A40CF"/>
    <w:rsid w:val="76946CFC"/>
    <w:rsid w:val="769B62DC"/>
    <w:rsid w:val="76AC2297"/>
    <w:rsid w:val="77040325"/>
    <w:rsid w:val="773F310C"/>
    <w:rsid w:val="77974CF6"/>
    <w:rsid w:val="77EB6DF0"/>
    <w:rsid w:val="77F4039A"/>
    <w:rsid w:val="77F43EF6"/>
    <w:rsid w:val="788A485A"/>
    <w:rsid w:val="78A82F32"/>
    <w:rsid w:val="793A002E"/>
    <w:rsid w:val="79780B57"/>
    <w:rsid w:val="797846B3"/>
    <w:rsid w:val="797A667D"/>
    <w:rsid w:val="79E63D12"/>
    <w:rsid w:val="7A102B3D"/>
    <w:rsid w:val="7A281F9B"/>
    <w:rsid w:val="7A5073DE"/>
    <w:rsid w:val="7A721A4A"/>
    <w:rsid w:val="7A8F7F06"/>
    <w:rsid w:val="7ABB6F4D"/>
    <w:rsid w:val="7AC322A6"/>
    <w:rsid w:val="7AF64429"/>
    <w:rsid w:val="7B3E36DA"/>
    <w:rsid w:val="7B8F3F36"/>
    <w:rsid w:val="7B9652C4"/>
    <w:rsid w:val="7BA94FF8"/>
    <w:rsid w:val="7BB045D8"/>
    <w:rsid w:val="7BB37C24"/>
    <w:rsid w:val="7BBA5457"/>
    <w:rsid w:val="7BCB31C0"/>
    <w:rsid w:val="7BCE0F02"/>
    <w:rsid w:val="7BD36518"/>
    <w:rsid w:val="7BDD2EF3"/>
    <w:rsid w:val="7BFE17E7"/>
    <w:rsid w:val="7C030BAC"/>
    <w:rsid w:val="7C0E57A2"/>
    <w:rsid w:val="7C156B31"/>
    <w:rsid w:val="7C184D42"/>
    <w:rsid w:val="7C442F72"/>
    <w:rsid w:val="7C987F60"/>
    <w:rsid w:val="7CA51C63"/>
    <w:rsid w:val="7CEA1D6C"/>
    <w:rsid w:val="7D567ED1"/>
    <w:rsid w:val="7D7E4262"/>
    <w:rsid w:val="7D87580C"/>
    <w:rsid w:val="7DA83E82"/>
    <w:rsid w:val="7DB14637"/>
    <w:rsid w:val="7DBB7264"/>
    <w:rsid w:val="7DD02D0F"/>
    <w:rsid w:val="7DF74740"/>
    <w:rsid w:val="7E0E55E6"/>
    <w:rsid w:val="7E470AF8"/>
    <w:rsid w:val="7E494870"/>
    <w:rsid w:val="7E5E47BF"/>
    <w:rsid w:val="7E6E44B9"/>
    <w:rsid w:val="7E775881"/>
    <w:rsid w:val="7ECB797B"/>
    <w:rsid w:val="7F0D1D41"/>
    <w:rsid w:val="7F2F3A66"/>
    <w:rsid w:val="7F34589A"/>
    <w:rsid w:val="7F4F235A"/>
    <w:rsid w:val="7F82628B"/>
    <w:rsid w:val="7FBD3767"/>
    <w:rsid w:val="7FC248DA"/>
    <w:rsid w:val="7FCC75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99"/>
    <w:pPr>
      <w:widowControl w:val="0"/>
      <w:autoSpaceDE w:val="0"/>
      <w:autoSpaceDN w:val="0"/>
      <w:adjustRightInd w:val="0"/>
    </w:pPr>
    <w:rPr>
      <w:rFonts w:ascii="Calibri" w:hAnsi="Calibri" w:eastAsia="Times New Roman" w:cs="Times New Roman"/>
      <w:color w:val="000000"/>
      <w:sz w:val="24"/>
      <w:szCs w:val="22"/>
      <w:lang w:val="en-US" w:eastAsia="zh-CN" w:bidi="ar-SA"/>
    </w:rPr>
  </w:style>
  <w:style w:type="paragraph" w:styleId="3">
    <w:name w:val="Body Text"/>
    <w:basedOn w:val="1"/>
    <w:next w:val="1"/>
    <w:qFormat/>
    <w:uiPriority w:val="0"/>
    <w:pPr>
      <w:spacing w:after="120"/>
    </w:pPr>
  </w:style>
  <w:style w:type="paragraph" w:styleId="4">
    <w:name w:val="Body Text Indent"/>
    <w:basedOn w:val="1"/>
    <w:qFormat/>
    <w:uiPriority w:val="0"/>
    <w:pPr>
      <w:spacing w:after="120"/>
      <w:ind w:left="420" w:leftChars="200"/>
    </w:p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2"/>
    <w:basedOn w:val="4"/>
    <w:qFormat/>
    <w:uiPriority w:val="0"/>
    <w:pPr>
      <w:ind w:left="0" w:leftChars="0" w:firstLine="420" w:firstLineChars="200"/>
    </w:p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7</Pages>
  <Words>3171</Words>
  <Characters>3279</Characters>
  <Lines>26</Lines>
  <Paragraphs>7</Paragraphs>
  <TotalTime>31</TotalTime>
  <ScaleCrop>false</ScaleCrop>
  <LinksUpToDate>false</LinksUpToDate>
  <CharactersWithSpaces>3698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2023-05-18T08:29:00Z</dcterms:created>
  <dc:creator>Microsoft</dc:creator>
  <cp:lastModifiedBy>A.</cp:lastModifiedBy>
  <cp:lastPrinted>2025-02-17T04:51:18Z</cp:lastPrinted>
  <dcterms:modified xsi:type="dcterms:W3CDTF">2025-02-17T04:51:21Z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64AA611F9FDB4FA0891ABAA4732EAF0D_12</vt:lpwstr>
  </property>
  <property fmtid="{D5CDD505-2E9C-101B-9397-08002B2CF9AE}" pid="4" name="KSOTemplateDocerSaveRecord">
    <vt:lpwstr>eyJoZGlkIjoiZDE0NDU0NDY3MWEyZThlMTM2NzU3ZWMyNmY2YTViNDEiLCJ1c2VySWQiOiI2MTA2NTY0NTEifQ==</vt:lpwstr>
  </property>
</Properties>
</file>