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F6D81">
      <w:pPr>
        <w:snapToGrid w:val="0"/>
        <w:spacing w:line="600" w:lineRule="exact"/>
        <w:jc w:val="center"/>
        <w:rPr>
          <w:rFonts w:eastAsia="方正小标宋_GBK"/>
          <w:sz w:val="44"/>
          <w:szCs w:val="44"/>
        </w:rPr>
      </w:pPr>
      <w:r>
        <w:rPr>
          <w:rFonts w:hint="eastAsia" w:eastAsia="方正小标宋_GBK"/>
          <w:color w:val="262626"/>
          <w:sz w:val="28"/>
          <w:szCs w:val="28"/>
        </w:rPr>
        <w:t>重庆市江北区铁山坪街道铜锣峡温泉</w:t>
      </w:r>
      <w:r>
        <w:rPr>
          <w:rFonts w:eastAsia="方正小标宋_GBK"/>
          <w:color w:val="262626"/>
          <w:sz w:val="28"/>
          <w:szCs w:val="28"/>
        </w:rPr>
        <w:t>采矿权拍卖出让文件</w:t>
      </w:r>
    </w:p>
    <w:p w14:paraId="20AA5838">
      <w:pPr>
        <w:wordWrap w:val="0"/>
        <w:spacing w:line="360" w:lineRule="exact"/>
        <w:jc w:val="right"/>
        <w:rPr>
          <w:b/>
        </w:rPr>
      </w:pPr>
    </w:p>
    <w:p w14:paraId="0601017A">
      <w:pPr>
        <w:wordWrap w:val="0"/>
        <w:spacing w:line="360" w:lineRule="exact"/>
        <w:ind w:right="420"/>
        <w:jc w:val="right"/>
        <w:rPr>
          <w:b/>
        </w:rPr>
      </w:pPr>
      <w:r>
        <w:rPr>
          <w:b/>
        </w:rPr>
        <w:t>公告序号：</w:t>
      </w:r>
      <w:r>
        <w:rPr>
          <w:rFonts w:hint="eastAsia"/>
          <w:b/>
        </w:rPr>
        <w:t>JBGC202501</w:t>
      </w:r>
    </w:p>
    <w:p w14:paraId="2CCAC689">
      <w:pPr>
        <w:spacing w:line="360" w:lineRule="exact"/>
        <w:ind w:firstLine="448" w:firstLineChars="204"/>
        <w:rPr>
          <w:sz w:val="22"/>
        </w:rPr>
      </w:pPr>
    </w:p>
    <w:p w14:paraId="17C8BDC0">
      <w:pPr>
        <w:spacing w:line="360" w:lineRule="exact"/>
        <w:ind w:firstLine="428" w:firstLineChars="204"/>
        <w:rPr>
          <w:rFonts w:cs="方正仿宋_GBK"/>
        </w:rPr>
      </w:pPr>
      <w:r>
        <w:rPr>
          <w:rFonts w:eastAsia="方正仿宋_GBK"/>
          <w:color w:val="262626"/>
          <w:szCs w:val="21"/>
        </w:rPr>
        <w:t>为合理开发利用矿产资源，维护矿产资源的国家所有权，建立规范、开放、竞争、有序的矿业权市场，根据《矿业权出让交易规则》（自然资规〔2023〕1号）有关规定，重庆市江北区规划和自然资源局决定公开拍卖出让以下采矿权，并委托重庆市公共资源交易中心负责公开出让交易环节的组织实施，本次公开出让的采矿权采用网上交易方式。</w:t>
      </w:r>
    </w:p>
    <w:p w14:paraId="63FAE8EE">
      <w:pPr>
        <w:spacing w:line="360" w:lineRule="exact"/>
        <w:ind w:firstLine="428" w:firstLineChars="204"/>
        <w:rPr>
          <w:rFonts w:ascii="方正黑体_GBK" w:hAnsi="方正黑体_GBK" w:eastAsia="方正黑体_GBK" w:cs="方正黑体_GBK"/>
          <w:color w:val="262626"/>
          <w:szCs w:val="21"/>
        </w:rPr>
      </w:pPr>
      <w:r>
        <w:rPr>
          <w:rFonts w:hint="eastAsia" w:ascii="方正黑体_GBK" w:hAnsi="方正黑体_GBK" w:eastAsia="方正黑体_GBK" w:cs="方正黑体_GBK"/>
          <w:color w:val="262626"/>
          <w:szCs w:val="21"/>
        </w:rPr>
        <w:t>一、出让采矿权基本情况</w:t>
      </w:r>
    </w:p>
    <w:p w14:paraId="249206C5">
      <w:pPr>
        <w:spacing w:line="360" w:lineRule="exact"/>
        <w:ind w:firstLine="428" w:firstLineChars="204"/>
        <w:rPr>
          <w:rFonts w:eastAsia="方正仿宋_GBK"/>
          <w:color w:val="262626"/>
          <w:szCs w:val="21"/>
        </w:rPr>
      </w:pPr>
      <w:r>
        <w:rPr>
          <w:rFonts w:eastAsia="方正仿宋_GBK"/>
          <w:color w:val="262626"/>
          <w:szCs w:val="21"/>
        </w:rPr>
        <w:t>（一）公告时间：2025年</w:t>
      </w:r>
      <w:r>
        <w:rPr>
          <w:rFonts w:hint="eastAsia" w:eastAsia="方正仿宋_GBK"/>
          <w:color w:val="262626"/>
          <w:szCs w:val="21"/>
        </w:rPr>
        <w:t>10</w:t>
      </w:r>
      <w:r>
        <w:rPr>
          <w:rFonts w:eastAsia="方正仿宋_GBK"/>
          <w:color w:val="262626"/>
          <w:szCs w:val="21"/>
        </w:rPr>
        <w:t>月</w:t>
      </w:r>
      <w:r>
        <w:rPr>
          <w:rFonts w:hint="eastAsia" w:eastAsia="方正仿宋_GBK"/>
          <w:color w:val="262626"/>
          <w:szCs w:val="21"/>
        </w:rPr>
        <w:t>30</w:t>
      </w:r>
      <w:r>
        <w:rPr>
          <w:rFonts w:eastAsia="方正仿宋_GBK"/>
          <w:color w:val="262626"/>
          <w:szCs w:val="21"/>
        </w:rPr>
        <w:t>日—2025年</w:t>
      </w:r>
      <w:r>
        <w:rPr>
          <w:rFonts w:hint="eastAsia" w:eastAsia="方正仿宋_GBK"/>
          <w:color w:val="262626"/>
          <w:szCs w:val="21"/>
        </w:rPr>
        <w:t>11</w:t>
      </w:r>
      <w:r>
        <w:rPr>
          <w:rFonts w:eastAsia="方正仿宋_GBK"/>
          <w:color w:val="262626"/>
          <w:szCs w:val="21"/>
        </w:rPr>
        <w:t>月</w:t>
      </w:r>
      <w:r>
        <w:rPr>
          <w:rFonts w:hint="eastAsia" w:eastAsia="方正仿宋_GBK"/>
          <w:color w:val="262626"/>
          <w:szCs w:val="21"/>
        </w:rPr>
        <w:t>26</w:t>
      </w:r>
      <w:r>
        <w:rPr>
          <w:rFonts w:eastAsia="方正仿宋_GBK"/>
          <w:color w:val="262626"/>
          <w:szCs w:val="21"/>
        </w:rPr>
        <w:t>日；</w:t>
      </w:r>
    </w:p>
    <w:p w14:paraId="311BC3A3">
      <w:pPr>
        <w:spacing w:line="360" w:lineRule="exact"/>
        <w:ind w:firstLine="428" w:firstLineChars="204"/>
        <w:rPr>
          <w:rFonts w:eastAsia="方正仿宋_GBK"/>
          <w:color w:val="262626"/>
          <w:szCs w:val="21"/>
        </w:rPr>
      </w:pPr>
      <w:r>
        <w:rPr>
          <w:rFonts w:eastAsia="方正仿宋_GBK"/>
          <w:color w:val="262626"/>
          <w:szCs w:val="21"/>
        </w:rPr>
        <w:t>（二）采矿权名称（暂定名）：重庆市江北区铁山坪街道铜锣峡温泉；</w:t>
      </w:r>
    </w:p>
    <w:p w14:paraId="05357C2A">
      <w:pPr>
        <w:spacing w:line="360" w:lineRule="exact"/>
        <w:ind w:firstLine="428" w:firstLineChars="204"/>
        <w:rPr>
          <w:rFonts w:eastAsia="方正仿宋_GBK"/>
          <w:color w:val="262626"/>
          <w:szCs w:val="21"/>
        </w:rPr>
      </w:pPr>
      <w:r>
        <w:rPr>
          <w:rFonts w:eastAsia="方正仿宋_GBK"/>
          <w:color w:val="262626"/>
          <w:szCs w:val="21"/>
        </w:rPr>
        <w:t>（三）矿山地址：重庆市江北区铁山坪街道铜锣峡中段；</w:t>
      </w:r>
    </w:p>
    <w:p w14:paraId="1B1D2E4D">
      <w:pPr>
        <w:spacing w:line="360" w:lineRule="exact"/>
        <w:ind w:firstLine="428" w:firstLineChars="204"/>
        <w:rPr>
          <w:rFonts w:eastAsia="方正仿宋_GBK"/>
          <w:color w:val="262626"/>
          <w:szCs w:val="21"/>
        </w:rPr>
      </w:pPr>
      <w:r>
        <w:rPr>
          <w:rFonts w:eastAsia="方正仿宋_GBK"/>
          <w:color w:val="262626"/>
          <w:szCs w:val="21"/>
        </w:rPr>
        <w:t>（四）矿区面积：0.0036平方公里；</w:t>
      </w:r>
    </w:p>
    <w:p w14:paraId="32927CE6">
      <w:pPr>
        <w:spacing w:line="360" w:lineRule="exact"/>
        <w:ind w:firstLine="428" w:firstLineChars="204"/>
        <w:rPr>
          <w:rFonts w:eastAsia="方正仿宋_GBK"/>
          <w:color w:val="262626"/>
          <w:szCs w:val="21"/>
        </w:rPr>
      </w:pPr>
      <w:r>
        <w:rPr>
          <w:rFonts w:eastAsia="方正仿宋_GBK"/>
          <w:color w:val="262626"/>
          <w:szCs w:val="21"/>
        </w:rPr>
        <w:t>（五）开采标高：+229.54米至-321.96米；</w:t>
      </w:r>
    </w:p>
    <w:p w14:paraId="789F1217">
      <w:pPr>
        <w:spacing w:line="360" w:lineRule="exact"/>
        <w:ind w:firstLine="428" w:firstLineChars="204"/>
        <w:rPr>
          <w:rFonts w:eastAsia="方正仿宋_GBK"/>
          <w:color w:val="262626"/>
          <w:szCs w:val="21"/>
        </w:rPr>
      </w:pPr>
      <w:r>
        <w:rPr>
          <w:rFonts w:eastAsia="方正仿宋_GBK"/>
          <w:color w:val="262626"/>
          <w:szCs w:val="21"/>
        </w:rPr>
        <w:t>（六）开采矿种：地热；</w:t>
      </w:r>
    </w:p>
    <w:p w14:paraId="39811288">
      <w:pPr>
        <w:spacing w:line="360" w:lineRule="exact"/>
        <w:ind w:firstLine="428" w:firstLineChars="204"/>
        <w:rPr>
          <w:rFonts w:eastAsia="方正仿宋_GBK"/>
          <w:color w:val="262626"/>
          <w:szCs w:val="21"/>
        </w:rPr>
      </w:pPr>
      <w:r>
        <w:rPr>
          <w:rFonts w:eastAsia="方正仿宋_GBK"/>
          <w:color w:val="262626"/>
          <w:szCs w:val="21"/>
        </w:rPr>
        <w:t>（七）资源储量：</w:t>
      </w:r>
      <w:r>
        <w:rPr>
          <w:rFonts w:hint="eastAsia" w:eastAsia="方正仿宋_GBK"/>
          <w:color w:val="262626"/>
          <w:szCs w:val="21"/>
        </w:rPr>
        <w:t>21.9万立方米/年</w:t>
      </w:r>
      <w:r>
        <w:rPr>
          <w:rFonts w:eastAsia="方正仿宋_GBK"/>
          <w:color w:val="262626"/>
          <w:szCs w:val="21"/>
        </w:rPr>
        <w:t>；</w:t>
      </w:r>
    </w:p>
    <w:p w14:paraId="784DCE6E">
      <w:pPr>
        <w:spacing w:line="360" w:lineRule="exact"/>
        <w:ind w:firstLine="428" w:firstLineChars="204"/>
        <w:rPr>
          <w:rFonts w:eastAsia="方正仿宋_GBK"/>
          <w:color w:val="262626"/>
          <w:szCs w:val="21"/>
        </w:rPr>
      </w:pPr>
      <w:r>
        <w:rPr>
          <w:rFonts w:eastAsia="方正仿宋_GBK"/>
          <w:color w:val="262626"/>
          <w:szCs w:val="21"/>
        </w:rPr>
        <w:t>（八）拟建设生产规模：21.9万立方米/年；</w:t>
      </w:r>
    </w:p>
    <w:p w14:paraId="6621CB5F">
      <w:pPr>
        <w:spacing w:line="360" w:lineRule="exact"/>
        <w:ind w:firstLine="428" w:firstLineChars="204"/>
        <w:rPr>
          <w:rFonts w:eastAsia="方正仿宋_GBK"/>
          <w:color w:val="262626"/>
          <w:szCs w:val="21"/>
        </w:rPr>
      </w:pPr>
      <w:r>
        <w:rPr>
          <w:rFonts w:eastAsia="方正仿宋_GBK"/>
          <w:color w:val="262626"/>
          <w:szCs w:val="21"/>
        </w:rPr>
        <w:t>（九）出让年限：10年；</w:t>
      </w:r>
    </w:p>
    <w:p w14:paraId="101CD3A7">
      <w:pPr>
        <w:spacing w:line="360" w:lineRule="exact"/>
        <w:ind w:firstLine="428" w:firstLineChars="204"/>
        <w:rPr>
          <w:rFonts w:eastAsia="方正仿宋_GBK"/>
          <w:color w:val="262626"/>
          <w:szCs w:val="21"/>
        </w:rPr>
      </w:pPr>
      <w:r>
        <w:rPr>
          <w:rFonts w:eastAsia="方正仿宋_GBK"/>
          <w:color w:val="262626"/>
          <w:szCs w:val="21"/>
        </w:rPr>
        <w:t>（十）出让收益起始价：0.108万元；</w:t>
      </w:r>
    </w:p>
    <w:p w14:paraId="759985AF">
      <w:pPr>
        <w:spacing w:line="360" w:lineRule="exact"/>
        <w:ind w:firstLine="428" w:firstLineChars="204"/>
        <w:rPr>
          <w:rFonts w:eastAsia="方正仿宋_GBK"/>
          <w:color w:val="262626"/>
          <w:szCs w:val="21"/>
        </w:rPr>
      </w:pPr>
      <w:r>
        <w:rPr>
          <w:rFonts w:eastAsia="方正仿宋_GBK"/>
          <w:color w:val="262626"/>
          <w:szCs w:val="21"/>
        </w:rPr>
        <w:t>（十一）矿区范围坐标（2000坐标系）：</w:t>
      </w:r>
    </w:p>
    <w:tbl>
      <w:tblPr>
        <w:tblStyle w:val="7"/>
        <w:tblpPr w:leftFromText="180" w:rightFromText="180" w:vertAnchor="text" w:horzAnchor="page" w:tblpX="1836" w:tblpY="222"/>
        <w:tblOverlap w:val="never"/>
        <w:tblW w:w="9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1808"/>
        <w:gridCol w:w="1938"/>
        <w:gridCol w:w="668"/>
        <w:gridCol w:w="1817"/>
        <w:gridCol w:w="1826"/>
      </w:tblGrid>
      <w:tr w14:paraId="2785F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Align w:val="center"/>
          </w:tcPr>
          <w:p w14:paraId="518F3C2B">
            <w:pPr>
              <w:spacing w:line="360" w:lineRule="exact"/>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拐点</w:t>
            </w:r>
          </w:p>
        </w:tc>
        <w:tc>
          <w:tcPr>
            <w:tcW w:w="1808" w:type="dxa"/>
            <w:vAlign w:val="center"/>
          </w:tcPr>
          <w:p w14:paraId="623FEAB7">
            <w:pPr>
              <w:spacing w:line="360" w:lineRule="exact"/>
              <w:ind w:firstLine="428" w:firstLineChars="204"/>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X</w:t>
            </w:r>
          </w:p>
        </w:tc>
        <w:tc>
          <w:tcPr>
            <w:tcW w:w="1938" w:type="dxa"/>
            <w:vAlign w:val="center"/>
          </w:tcPr>
          <w:p w14:paraId="162CDDF6">
            <w:pPr>
              <w:spacing w:line="360" w:lineRule="exact"/>
              <w:ind w:firstLine="428" w:firstLineChars="204"/>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Y</w:t>
            </w:r>
          </w:p>
        </w:tc>
        <w:tc>
          <w:tcPr>
            <w:tcW w:w="668" w:type="dxa"/>
            <w:vAlign w:val="center"/>
          </w:tcPr>
          <w:p w14:paraId="76F8CB4C">
            <w:pPr>
              <w:spacing w:line="360" w:lineRule="exact"/>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拐点</w:t>
            </w:r>
          </w:p>
        </w:tc>
        <w:tc>
          <w:tcPr>
            <w:tcW w:w="1817" w:type="dxa"/>
            <w:vAlign w:val="center"/>
          </w:tcPr>
          <w:p w14:paraId="61C98E75">
            <w:pPr>
              <w:spacing w:line="360" w:lineRule="exact"/>
              <w:ind w:firstLine="428" w:firstLineChars="204"/>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X</w:t>
            </w:r>
          </w:p>
        </w:tc>
        <w:tc>
          <w:tcPr>
            <w:tcW w:w="1826" w:type="dxa"/>
            <w:vAlign w:val="center"/>
          </w:tcPr>
          <w:p w14:paraId="1F9F6503">
            <w:pPr>
              <w:spacing w:line="360" w:lineRule="exact"/>
              <w:ind w:firstLine="428" w:firstLineChars="204"/>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Y</w:t>
            </w:r>
          </w:p>
        </w:tc>
      </w:tr>
      <w:tr w14:paraId="08383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tcPr>
          <w:p w14:paraId="501FFE4D">
            <w:pPr>
              <w:spacing w:line="360" w:lineRule="exact"/>
              <w:ind w:firstLine="428" w:firstLineChars="204"/>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1</w:t>
            </w:r>
          </w:p>
        </w:tc>
        <w:tc>
          <w:tcPr>
            <w:tcW w:w="1808" w:type="dxa"/>
            <w:vAlign w:val="center"/>
          </w:tcPr>
          <w:p w14:paraId="21161959">
            <w:pPr>
              <w:spacing w:line="360" w:lineRule="exact"/>
              <w:jc w:val="center"/>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3275341.62</w:t>
            </w:r>
          </w:p>
        </w:tc>
        <w:tc>
          <w:tcPr>
            <w:tcW w:w="1938" w:type="dxa"/>
            <w:vAlign w:val="center"/>
          </w:tcPr>
          <w:p w14:paraId="1DFFC308">
            <w:pPr>
              <w:spacing w:line="360" w:lineRule="exact"/>
              <w:jc w:val="center"/>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36370181.65</w:t>
            </w:r>
          </w:p>
        </w:tc>
        <w:tc>
          <w:tcPr>
            <w:tcW w:w="668" w:type="dxa"/>
          </w:tcPr>
          <w:p w14:paraId="30A1B6A9">
            <w:pPr>
              <w:spacing w:line="360" w:lineRule="exact"/>
              <w:jc w:val="center"/>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3</w:t>
            </w:r>
          </w:p>
        </w:tc>
        <w:tc>
          <w:tcPr>
            <w:tcW w:w="1817" w:type="dxa"/>
            <w:vAlign w:val="center"/>
          </w:tcPr>
          <w:p w14:paraId="3C8A7993">
            <w:pPr>
              <w:spacing w:line="360" w:lineRule="exact"/>
              <w:jc w:val="center"/>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3275271.48</w:t>
            </w:r>
          </w:p>
        </w:tc>
        <w:tc>
          <w:tcPr>
            <w:tcW w:w="1826" w:type="dxa"/>
            <w:vAlign w:val="center"/>
          </w:tcPr>
          <w:p w14:paraId="37D7590E">
            <w:pPr>
              <w:spacing w:line="360" w:lineRule="exact"/>
              <w:jc w:val="center"/>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36370252.13</w:t>
            </w:r>
          </w:p>
        </w:tc>
      </w:tr>
      <w:tr w14:paraId="66E6D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tcPr>
          <w:p w14:paraId="231D6F20">
            <w:pPr>
              <w:spacing w:line="360" w:lineRule="exact"/>
              <w:ind w:firstLine="428" w:firstLineChars="204"/>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2</w:t>
            </w:r>
          </w:p>
        </w:tc>
        <w:tc>
          <w:tcPr>
            <w:tcW w:w="1808" w:type="dxa"/>
            <w:vAlign w:val="center"/>
          </w:tcPr>
          <w:p w14:paraId="3E0EC463">
            <w:pPr>
              <w:spacing w:line="360" w:lineRule="exact"/>
              <w:jc w:val="center"/>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3275256.23</w:t>
            </w:r>
          </w:p>
        </w:tc>
        <w:tc>
          <w:tcPr>
            <w:tcW w:w="1938" w:type="dxa"/>
            <w:vAlign w:val="center"/>
          </w:tcPr>
          <w:p w14:paraId="77E18015">
            <w:pPr>
              <w:spacing w:line="360" w:lineRule="exact"/>
              <w:jc w:val="center"/>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36370210.47</w:t>
            </w:r>
          </w:p>
        </w:tc>
        <w:tc>
          <w:tcPr>
            <w:tcW w:w="668" w:type="dxa"/>
          </w:tcPr>
          <w:p w14:paraId="0A61C545">
            <w:pPr>
              <w:spacing w:line="360" w:lineRule="exact"/>
              <w:jc w:val="center"/>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4</w:t>
            </w:r>
          </w:p>
        </w:tc>
        <w:tc>
          <w:tcPr>
            <w:tcW w:w="1817" w:type="dxa"/>
            <w:vAlign w:val="center"/>
          </w:tcPr>
          <w:p w14:paraId="64EB28A1">
            <w:pPr>
              <w:spacing w:line="360" w:lineRule="exact"/>
              <w:jc w:val="center"/>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3275353.46</w:t>
            </w:r>
          </w:p>
        </w:tc>
        <w:tc>
          <w:tcPr>
            <w:tcW w:w="1826" w:type="dxa"/>
            <w:vAlign w:val="center"/>
          </w:tcPr>
          <w:p w14:paraId="4C1AB3ED">
            <w:pPr>
              <w:spacing w:line="360" w:lineRule="exact"/>
              <w:jc w:val="center"/>
              <w:rPr>
                <w:rFonts w:ascii="方正仿宋_GBK" w:hAnsi="方正仿宋_GBK" w:eastAsia="方正仿宋_GBK" w:cs="方正仿宋_GBK"/>
                <w:color w:val="262626"/>
                <w:szCs w:val="21"/>
              </w:rPr>
            </w:pPr>
            <w:r>
              <w:rPr>
                <w:rFonts w:hint="eastAsia" w:ascii="方正仿宋_GBK" w:hAnsi="方正仿宋_GBK" w:eastAsia="方正仿宋_GBK" w:cs="方正仿宋_GBK"/>
                <w:color w:val="262626"/>
                <w:szCs w:val="21"/>
              </w:rPr>
              <w:t>36370215.44</w:t>
            </w:r>
          </w:p>
        </w:tc>
      </w:tr>
    </w:tbl>
    <w:p w14:paraId="5CC8283B">
      <w:pPr>
        <w:spacing w:line="360" w:lineRule="exact"/>
        <w:ind w:firstLine="428" w:firstLineChars="204"/>
        <w:rPr>
          <w:rFonts w:ascii="方正黑体_GBK" w:hAnsi="方正黑体_GBK" w:eastAsia="方正黑体_GBK" w:cs="方正黑体_GBK"/>
          <w:color w:val="262626"/>
          <w:szCs w:val="21"/>
        </w:rPr>
      </w:pPr>
      <w:r>
        <w:rPr>
          <w:rFonts w:ascii="方正黑体_GBK" w:hAnsi="方正黑体_GBK" w:eastAsia="方正黑体_GBK" w:cs="方正黑体_GBK"/>
          <w:color w:val="262626"/>
          <w:szCs w:val="21"/>
        </w:rPr>
        <w:t>二、出让人、交易平台联系方式</w:t>
      </w:r>
    </w:p>
    <w:p w14:paraId="16654A96">
      <w:pPr>
        <w:spacing w:line="360" w:lineRule="exact"/>
        <w:ind w:firstLine="428" w:firstLineChars="204"/>
        <w:rPr>
          <w:rFonts w:eastAsia="方正仿宋_GBK"/>
          <w:color w:val="262626"/>
          <w:szCs w:val="21"/>
        </w:rPr>
      </w:pPr>
      <w:r>
        <w:rPr>
          <w:rFonts w:eastAsia="方正仿宋_GBK"/>
          <w:color w:val="262626"/>
          <w:szCs w:val="21"/>
        </w:rPr>
        <w:t>（一）出让人</w:t>
      </w:r>
    </w:p>
    <w:p w14:paraId="70EDD479">
      <w:pPr>
        <w:spacing w:line="360" w:lineRule="exact"/>
        <w:ind w:firstLine="428" w:firstLineChars="204"/>
        <w:rPr>
          <w:rFonts w:eastAsia="方正仿宋_GBK"/>
          <w:color w:val="262626"/>
          <w:szCs w:val="21"/>
        </w:rPr>
      </w:pPr>
      <w:r>
        <w:rPr>
          <w:rFonts w:eastAsia="方正仿宋_GBK"/>
          <w:color w:val="262626"/>
          <w:szCs w:val="21"/>
        </w:rPr>
        <w:t>本宗采矿权出让人为重庆市江北区规划和自然资源局。</w:t>
      </w:r>
    </w:p>
    <w:p w14:paraId="4250C061">
      <w:pPr>
        <w:spacing w:line="360" w:lineRule="exact"/>
        <w:ind w:firstLine="428" w:firstLineChars="204"/>
        <w:rPr>
          <w:rFonts w:eastAsia="方正仿宋_GBK"/>
          <w:color w:val="262626"/>
          <w:szCs w:val="21"/>
        </w:rPr>
      </w:pPr>
      <w:r>
        <w:rPr>
          <w:rFonts w:eastAsia="方正仿宋_GBK"/>
          <w:color w:val="262626"/>
          <w:szCs w:val="21"/>
        </w:rPr>
        <w:t>地址：重庆市江北区北城天街22号</w:t>
      </w:r>
      <w:r>
        <w:rPr>
          <w:rFonts w:hint="eastAsia" w:eastAsia="方正仿宋_GBK"/>
          <w:color w:val="262626"/>
          <w:szCs w:val="21"/>
        </w:rPr>
        <w:t>。</w:t>
      </w:r>
    </w:p>
    <w:p w14:paraId="256ADE9F">
      <w:pPr>
        <w:spacing w:line="360" w:lineRule="exact"/>
        <w:ind w:firstLine="428" w:firstLineChars="204"/>
        <w:rPr>
          <w:rFonts w:eastAsia="方正仿宋_GBK"/>
          <w:color w:val="262626"/>
          <w:szCs w:val="21"/>
        </w:rPr>
      </w:pPr>
      <w:r>
        <w:rPr>
          <w:rFonts w:eastAsia="方正仿宋_GBK"/>
          <w:color w:val="262626"/>
          <w:szCs w:val="21"/>
        </w:rPr>
        <w:t>联系人：陈老师，联系电话：023-67857139。</w:t>
      </w:r>
    </w:p>
    <w:p w14:paraId="707DFD5E">
      <w:pPr>
        <w:spacing w:line="360" w:lineRule="exact"/>
        <w:ind w:firstLine="428" w:firstLineChars="204"/>
        <w:rPr>
          <w:rFonts w:eastAsia="方正仿宋_GBK"/>
          <w:color w:val="262626"/>
          <w:szCs w:val="21"/>
        </w:rPr>
      </w:pPr>
      <w:r>
        <w:rPr>
          <w:rFonts w:eastAsia="方正仿宋_GBK"/>
          <w:color w:val="262626"/>
          <w:szCs w:val="21"/>
        </w:rPr>
        <w:t>（二）交易平台</w:t>
      </w:r>
    </w:p>
    <w:p w14:paraId="233A8F47">
      <w:pPr>
        <w:spacing w:line="360" w:lineRule="exact"/>
        <w:ind w:firstLine="428" w:firstLineChars="204"/>
        <w:rPr>
          <w:rFonts w:eastAsia="方正仿宋_GBK"/>
          <w:color w:val="262626"/>
          <w:szCs w:val="21"/>
        </w:rPr>
      </w:pPr>
      <w:r>
        <w:rPr>
          <w:rFonts w:eastAsia="方正仿宋_GBK"/>
          <w:color w:val="262626"/>
          <w:szCs w:val="21"/>
        </w:rPr>
        <w:t>本宗采矿权交易平台为重庆市公共资源交易中心。</w:t>
      </w:r>
      <w:bookmarkStart w:id="0" w:name="_GoBack"/>
      <w:bookmarkEnd w:id="0"/>
    </w:p>
    <w:p w14:paraId="54FC4A76">
      <w:pPr>
        <w:spacing w:line="360" w:lineRule="exact"/>
        <w:ind w:firstLine="428" w:firstLineChars="204"/>
        <w:rPr>
          <w:rFonts w:eastAsia="方正仿宋_GBK"/>
          <w:color w:val="262626"/>
          <w:szCs w:val="21"/>
        </w:rPr>
      </w:pPr>
      <w:r>
        <w:rPr>
          <w:rFonts w:eastAsia="方正仿宋_GBK"/>
          <w:color w:val="262626"/>
          <w:szCs w:val="21"/>
        </w:rPr>
        <w:t>地址：重庆市江北区永平门街14号8-1</w:t>
      </w:r>
      <w:r>
        <w:rPr>
          <w:rFonts w:hint="eastAsia" w:eastAsia="方正仿宋_GBK"/>
          <w:color w:val="262626"/>
          <w:szCs w:val="21"/>
        </w:rPr>
        <w:t>。</w:t>
      </w:r>
    </w:p>
    <w:p w14:paraId="0297E4EA">
      <w:pPr>
        <w:spacing w:line="360" w:lineRule="exact"/>
        <w:ind w:firstLine="428" w:firstLineChars="204"/>
        <w:rPr>
          <w:rFonts w:eastAsia="方正仿宋_GBK"/>
          <w:color w:val="262626"/>
          <w:szCs w:val="21"/>
        </w:rPr>
      </w:pPr>
      <w:r>
        <w:rPr>
          <w:rFonts w:eastAsia="方正仿宋_GBK"/>
          <w:color w:val="262626"/>
          <w:szCs w:val="21"/>
        </w:rPr>
        <w:t>联系人：王老师，联系电话：023-63628117。</w:t>
      </w:r>
    </w:p>
    <w:p w14:paraId="42BC31A1">
      <w:pPr>
        <w:spacing w:line="360" w:lineRule="exact"/>
        <w:ind w:firstLine="428" w:firstLineChars="204"/>
        <w:rPr>
          <w:rFonts w:eastAsia="方正仿宋_GBK"/>
          <w:color w:val="262626"/>
          <w:szCs w:val="21"/>
        </w:rPr>
      </w:pPr>
      <w:r>
        <w:rPr>
          <w:rFonts w:eastAsia="方正仿宋_GBK"/>
          <w:color w:val="262626"/>
          <w:szCs w:val="21"/>
        </w:rPr>
        <w:t>（三）实体CA 证书办理</w:t>
      </w:r>
    </w:p>
    <w:p w14:paraId="5D50FBD6">
      <w:pPr>
        <w:wordWrap w:val="0"/>
        <w:spacing w:line="360" w:lineRule="exact"/>
        <w:ind w:firstLine="428" w:firstLineChars="204"/>
        <w:rPr>
          <w:rFonts w:eastAsia="方正仿宋_GBK"/>
          <w:color w:val="262626"/>
          <w:szCs w:val="21"/>
        </w:rPr>
      </w:pPr>
      <w:r>
        <w:rPr>
          <w:rFonts w:eastAsia="方正仿宋_GBK"/>
          <w:color w:val="262626"/>
          <w:szCs w:val="21"/>
        </w:rPr>
        <w:t>申请人可在重庆市公共资源交易网CA互认与办理专栏（网址：https://www.cqggzy.com/035/CAenter.html）按照办理须知办理实体CA证书。</w:t>
      </w:r>
    </w:p>
    <w:p w14:paraId="41062D2C">
      <w:pPr>
        <w:spacing w:line="360" w:lineRule="exact"/>
        <w:ind w:firstLine="428" w:firstLineChars="204"/>
        <w:rPr>
          <w:rFonts w:eastAsia="方正仿宋_GBK"/>
          <w:color w:val="262626"/>
          <w:szCs w:val="21"/>
        </w:rPr>
      </w:pPr>
      <w:r>
        <w:rPr>
          <w:rFonts w:eastAsia="方正仿宋_GBK"/>
          <w:color w:val="262626"/>
          <w:szCs w:val="21"/>
        </w:rPr>
        <w:t>申请人应妥善保管CA数字证书及其密码，如CA数字证书遗失或者损毁、遗忘或者泄露密码，应及时办理挂失，并重新申领。申请人登记信息有变化的，应及时进行信息变更。</w:t>
      </w:r>
    </w:p>
    <w:p w14:paraId="72B8BCE9">
      <w:pPr>
        <w:spacing w:line="360" w:lineRule="exact"/>
        <w:ind w:firstLine="428" w:firstLineChars="204"/>
        <w:rPr>
          <w:rFonts w:eastAsia="方正仿宋_GBK"/>
          <w:color w:val="262626"/>
          <w:szCs w:val="21"/>
        </w:rPr>
      </w:pPr>
      <w:r>
        <w:rPr>
          <w:rFonts w:ascii="方正黑体_GBK" w:hAnsi="方正黑体_GBK" w:eastAsia="方正黑体_GBK" w:cs="方正黑体_GBK"/>
          <w:color w:val="262626"/>
          <w:szCs w:val="21"/>
        </w:rPr>
        <w:t>三、竞买申请人准入条件</w:t>
      </w:r>
    </w:p>
    <w:p w14:paraId="446BC037">
      <w:pPr>
        <w:spacing w:line="360" w:lineRule="exact"/>
        <w:ind w:firstLine="428" w:firstLineChars="204"/>
        <w:rPr>
          <w:rFonts w:eastAsia="方正仿宋_GBK"/>
          <w:color w:val="262626"/>
          <w:szCs w:val="21"/>
        </w:rPr>
      </w:pPr>
      <w:r>
        <w:rPr>
          <w:rFonts w:eastAsia="方正仿宋_GBK"/>
          <w:color w:val="262626"/>
          <w:szCs w:val="21"/>
        </w:rPr>
        <w:t>（一）竞买申请人须为营利法人；</w:t>
      </w:r>
    </w:p>
    <w:p w14:paraId="43979D9F">
      <w:pPr>
        <w:spacing w:line="360" w:lineRule="exact"/>
        <w:ind w:firstLine="428" w:firstLineChars="204"/>
        <w:rPr>
          <w:rFonts w:eastAsia="方正仿宋_GBK"/>
          <w:color w:val="262626"/>
          <w:szCs w:val="21"/>
        </w:rPr>
      </w:pPr>
      <w:r>
        <w:rPr>
          <w:rFonts w:eastAsia="方正仿宋_GBK"/>
          <w:color w:val="262626"/>
          <w:szCs w:val="21"/>
        </w:rPr>
        <w:t>（二）竞买申请人属于以下情形之一的不得参与竞买：</w:t>
      </w:r>
    </w:p>
    <w:p w14:paraId="7FADF9C0">
      <w:pPr>
        <w:spacing w:line="360" w:lineRule="exact"/>
        <w:ind w:firstLine="428" w:firstLineChars="204"/>
        <w:rPr>
          <w:rFonts w:eastAsia="方正仿宋_GBK"/>
          <w:color w:val="262626"/>
          <w:szCs w:val="21"/>
        </w:rPr>
      </w:pPr>
      <w:r>
        <w:rPr>
          <w:rFonts w:eastAsia="方正仿宋_GBK"/>
          <w:color w:val="262626"/>
          <w:szCs w:val="21"/>
        </w:rPr>
        <w:t>1.在全国矿业权人勘查开采信息管理系统的“矿业权人异常名录”、“矿业权严重失信主体”内的；</w:t>
      </w:r>
    </w:p>
    <w:p w14:paraId="77CCA551">
      <w:pPr>
        <w:spacing w:line="360" w:lineRule="exact"/>
        <w:ind w:firstLine="428" w:firstLineChars="204"/>
        <w:rPr>
          <w:rFonts w:eastAsia="方正仿宋_GBK"/>
          <w:color w:val="262626"/>
          <w:szCs w:val="21"/>
        </w:rPr>
      </w:pPr>
      <w:r>
        <w:rPr>
          <w:rFonts w:eastAsia="方正仿宋_GBK"/>
          <w:color w:val="262626"/>
          <w:szCs w:val="21"/>
        </w:rPr>
        <w:t>2.通过“信用中国”查询，在自然资源部联合惩戒备忘录或重庆市信用惩戒严重失信主体“黑名单”内限制禁止参与矿业权出让的；</w:t>
      </w:r>
    </w:p>
    <w:p w14:paraId="6B3DDF03">
      <w:pPr>
        <w:spacing w:line="360" w:lineRule="exact"/>
        <w:ind w:firstLine="428" w:firstLineChars="204"/>
        <w:rPr>
          <w:rFonts w:eastAsia="方正仿宋_GBK"/>
          <w:color w:val="262626"/>
          <w:szCs w:val="21"/>
        </w:rPr>
      </w:pPr>
      <w:r>
        <w:rPr>
          <w:rFonts w:eastAsia="方正仿宋_GBK"/>
          <w:color w:val="262626"/>
          <w:szCs w:val="21"/>
        </w:rPr>
        <w:t>3.被吊销采矿许可证且自吊销之日起未满2年的。</w:t>
      </w:r>
    </w:p>
    <w:p w14:paraId="2057D6A8">
      <w:pPr>
        <w:spacing w:line="360" w:lineRule="exact"/>
        <w:ind w:firstLine="428" w:firstLineChars="204"/>
        <w:rPr>
          <w:rFonts w:eastAsia="方正仿宋_GBK"/>
          <w:color w:val="262626"/>
          <w:szCs w:val="21"/>
        </w:rPr>
      </w:pPr>
      <w:r>
        <w:rPr>
          <w:rFonts w:ascii="方正黑体_GBK" w:hAnsi="方正黑体_GBK" w:eastAsia="方正黑体_GBK" w:cs="方正黑体_GBK"/>
          <w:color w:val="262626"/>
          <w:szCs w:val="21"/>
        </w:rPr>
        <w:t>四、网上报名申请</w:t>
      </w:r>
    </w:p>
    <w:p w14:paraId="432CDF91">
      <w:pPr>
        <w:spacing w:line="360" w:lineRule="exact"/>
        <w:ind w:firstLine="428" w:firstLineChars="204"/>
        <w:rPr>
          <w:rFonts w:eastAsia="方正仿宋_GBK"/>
          <w:color w:val="262626"/>
          <w:szCs w:val="21"/>
        </w:rPr>
      </w:pPr>
      <w:r>
        <w:rPr>
          <w:rFonts w:eastAsia="方正仿宋_GBK"/>
          <w:color w:val="262626"/>
          <w:szCs w:val="21"/>
        </w:rPr>
        <w:t>本次公开出让的采矿权采取网上报名方式：</w:t>
      </w:r>
    </w:p>
    <w:p w14:paraId="24B4C9DA">
      <w:pPr>
        <w:spacing w:line="360" w:lineRule="exact"/>
        <w:ind w:firstLine="428" w:firstLineChars="204"/>
        <w:rPr>
          <w:rFonts w:eastAsia="方正仿宋_GBK"/>
          <w:color w:val="262626"/>
          <w:szCs w:val="21"/>
        </w:rPr>
      </w:pPr>
      <w:r>
        <w:rPr>
          <w:rFonts w:eastAsia="方正仿宋_GBK"/>
          <w:color w:val="262626"/>
          <w:szCs w:val="21"/>
        </w:rPr>
        <w:t>（一）报名时限：2025年</w:t>
      </w:r>
      <w:r>
        <w:rPr>
          <w:rFonts w:hint="eastAsia" w:eastAsia="方正仿宋_GBK"/>
          <w:color w:val="262626"/>
          <w:szCs w:val="21"/>
        </w:rPr>
        <w:t>10</w:t>
      </w:r>
      <w:r>
        <w:rPr>
          <w:rFonts w:eastAsia="方正仿宋_GBK"/>
          <w:color w:val="262626"/>
          <w:szCs w:val="21"/>
        </w:rPr>
        <w:t>月</w:t>
      </w:r>
      <w:r>
        <w:rPr>
          <w:rFonts w:hint="eastAsia" w:eastAsia="方正仿宋_GBK"/>
          <w:color w:val="262626"/>
          <w:szCs w:val="21"/>
        </w:rPr>
        <w:t>30</w:t>
      </w:r>
      <w:r>
        <w:rPr>
          <w:rFonts w:eastAsia="方正仿宋_GBK"/>
          <w:color w:val="262626"/>
          <w:szCs w:val="21"/>
        </w:rPr>
        <w:t>日</w:t>
      </w:r>
      <w:r>
        <w:rPr>
          <w:rFonts w:hint="eastAsia" w:eastAsia="方正仿宋_GBK"/>
          <w:color w:val="262626"/>
          <w:szCs w:val="21"/>
        </w:rPr>
        <w:t>09：00</w:t>
      </w:r>
      <w:r>
        <w:rPr>
          <w:rFonts w:eastAsia="方正仿宋_GBK"/>
          <w:color w:val="262626"/>
          <w:szCs w:val="21"/>
        </w:rPr>
        <w:t>时-2025年</w:t>
      </w:r>
      <w:r>
        <w:rPr>
          <w:rFonts w:hint="eastAsia" w:eastAsia="方正仿宋_GBK"/>
          <w:color w:val="262626"/>
          <w:szCs w:val="21"/>
        </w:rPr>
        <w:t>11</w:t>
      </w:r>
      <w:r>
        <w:rPr>
          <w:rFonts w:eastAsia="方正仿宋_GBK"/>
          <w:color w:val="262626"/>
          <w:szCs w:val="21"/>
        </w:rPr>
        <w:t>月</w:t>
      </w:r>
      <w:r>
        <w:rPr>
          <w:rFonts w:hint="eastAsia" w:eastAsia="方正仿宋_GBK"/>
          <w:color w:val="262626"/>
          <w:szCs w:val="21"/>
        </w:rPr>
        <w:t>26</w:t>
      </w:r>
      <w:r>
        <w:rPr>
          <w:rFonts w:eastAsia="方正仿宋_GBK"/>
          <w:color w:val="262626"/>
          <w:szCs w:val="21"/>
        </w:rPr>
        <w:t>日</w:t>
      </w:r>
      <w:r>
        <w:rPr>
          <w:rFonts w:hint="eastAsia" w:eastAsia="方正仿宋_GBK"/>
          <w:color w:val="262626"/>
          <w:szCs w:val="21"/>
        </w:rPr>
        <w:t>17：00</w:t>
      </w:r>
      <w:r>
        <w:rPr>
          <w:rFonts w:eastAsia="方正仿宋_GBK"/>
          <w:color w:val="262626"/>
          <w:szCs w:val="21"/>
        </w:rPr>
        <w:t>时。</w:t>
      </w:r>
    </w:p>
    <w:p w14:paraId="6B09AB2F">
      <w:pPr>
        <w:spacing w:line="360" w:lineRule="exact"/>
        <w:ind w:firstLine="428" w:firstLineChars="204"/>
        <w:rPr>
          <w:rFonts w:eastAsia="方正仿宋_GBK"/>
          <w:color w:val="262626"/>
          <w:szCs w:val="21"/>
        </w:rPr>
      </w:pPr>
      <w:r>
        <w:rPr>
          <w:rFonts w:eastAsia="方正仿宋_GBK"/>
          <w:color w:val="262626"/>
          <w:szCs w:val="21"/>
        </w:rPr>
        <w:t>（二）资料获取：申请人应在报名期限内登录重庆市公共资源交易中心（网址：https://www.cqggzy.com），进入重庆市国有建设用地使用权和矿业权网上交易系统（网址：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eastAsia="方正仿宋_GBK"/>
          <w:color w:val="262626"/>
          <w:szCs w:val="21"/>
        </w:rPr>
        <w:t>https://td.cqggzy.com/），查阅、下载出让资料。</w:t>
      </w:r>
      <w:r>
        <w:rPr>
          <w:rFonts w:eastAsia="方正仿宋_GBK"/>
          <w:color w:val="262626"/>
          <w:szCs w:val="21"/>
        </w:rPr>
        <w:fldChar w:fldCharType="end"/>
      </w:r>
    </w:p>
    <w:p w14:paraId="5B019DBC">
      <w:pPr>
        <w:spacing w:line="360" w:lineRule="exact"/>
        <w:ind w:firstLine="428" w:firstLineChars="204"/>
        <w:rPr>
          <w:rFonts w:eastAsia="方正仿宋_GBK"/>
          <w:color w:val="262626"/>
          <w:szCs w:val="21"/>
        </w:rPr>
      </w:pPr>
      <w:r>
        <w:rPr>
          <w:rFonts w:eastAsia="方正仿宋_GBK"/>
          <w:color w:val="262626"/>
          <w:szCs w:val="21"/>
        </w:rPr>
        <w:t>（三）申请资料</w:t>
      </w:r>
    </w:p>
    <w:p w14:paraId="282BC3BA">
      <w:pPr>
        <w:spacing w:line="360" w:lineRule="exact"/>
        <w:ind w:firstLine="428" w:firstLineChars="204"/>
        <w:rPr>
          <w:rFonts w:eastAsia="方正仿宋_GBK"/>
          <w:color w:val="262626"/>
          <w:szCs w:val="21"/>
        </w:rPr>
      </w:pPr>
      <w:r>
        <w:rPr>
          <w:rFonts w:eastAsia="方正仿宋_GBK"/>
          <w:color w:val="262626"/>
          <w:szCs w:val="21"/>
        </w:rPr>
        <w:t>1.《竞买申请书》（原件1份）（附件1）；</w:t>
      </w:r>
    </w:p>
    <w:p w14:paraId="24CC71F3">
      <w:pPr>
        <w:spacing w:line="360" w:lineRule="exact"/>
        <w:ind w:firstLine="428" w:firstLineChars="204"/>
        <w:rPr>
          <w:rFonts w:eastAsia="方正仿宋_GBK"/>
          <w:color w:val="262626"/>
          <w:szCs w:val="21"/>
        </w:rPr>
      </w:pPr>
      <w:r>
        <w:rPr>
          <w:rFonts w:eastAsia="方正仿宋_GBK"/>
          <w:color w:val="262626"/>
          <w:szCs w:val="21"/>
        </w:rPr>
        <w:t>2.工商营业执照副本（复印件1份）；</w:t>
      </w:r>
    </w:p>
    <w:p w14:paraId="05D84098">
      <w:pPr>
        <w:spacing w:line="360" w:lineRule="exact"/>
        <w:ind w:firstLine="428" w:firstLineChars="204"/>
        <w:rPr>
          <w:rFonts w:eastAsia="方正仿宋_GBK"/>
          <w:color w:val="262626"/>
          <w:szCs w:val="21"/>
        </w:rPr>
      </w:pPr>
      <w:r>
        <w:rPr>
          <w:rFonts w:eastAsia="方正仿宋_GBK"/>
          <w:color w:val="262626"/>
          <w:szCs w:val="21"/>
        </w:rPr>
        <w:t>3.法人身份证明（复印件1份）；</w:t>
      </w:r>
    </w:p>
    <w:p w14:paraId="40873FAB">
      <w:pPr>
        <w:spacing w:line="360" w:lineRule="exact"/>
        <w:ind w:firstLine="428" w:firstLineChars="204"/>
        <w:rPr>
          <w:rFonts w:eastAsia="方正仿宋_GBK"/>
          <w:color w:val="262626"/>
          <w:szCs w:val="21"/>
        </w:rPr>
      </w:pPr>
      <w:r>
        <w:rPr>
          <w:rFonts w:eastAsia="方正仿宋_GBK"/>
          <w:color w:val="262626"/>
          <w:szCs w:val="21"/>
        </w:rPr>
        <w:t>4.法人不能亲自参加的应提供《授权委托书》（原件1份）（附件2）；</w:t>
      </w:r>
    </w:p>
    <w:p w14:paraId="61BC85FF">
      <w:pPr>
        <w:spacing w:line="360" w:lineRule="exact"/>
        <w:ind w:firstLine="428" w:firstLineChars="204"/>
        <w:rPr>
          <w:rFonts w:eastAsia="方正仿宋_GBK"/>
          <w:color w:val="262626"/>
          <w:szCs w:val="21"/>
        </w:rPr>
      </w:pPr>
      <w:r>
        <w:rPr>
          <w:rFonts w:eastAsia="方正仿宋_GBK"/>
          <w:color w:val="262626"/>
          <w:szCs w:val="21"/>
        </w:rPr>
        <w:t>5.受托人身份证明（复印件1份）；</w:t>
      </w:r>
    </w:p>
    <w:p w14:paraId="47EC6C5B">
      <w:pPr>
        <w:spacing w:line="360" w:lineRule="exact"/>
        <w:ind w:firstLine="428" w:firstLineChars="204"/>
        <w:rPr>
          <w:rFonts w:eastAsia="方正仿宋_GBK"/>
          <w:color w:val="262626"/>
          <w:szCs w:val="21"/>
        </w:rPr>
      </w:pPr>
      <w:r>
        <w:rPr>
          <w:rFonts w:eastAsia="方正仿宋_GBK"/>
          <w:color w:val="262626"/>
          <w:szCs w:val="21"/>
        </w:rPr>
        <w:t>6.竞买申请人签署意见的《出让文件》（原件1份）。</w:t>
      </w:r>
    </w:p>
    <w:p w14:paraId="6C9C962D">
      <w:pPr>
        <w:spacing w:line="360" w:lineRule="exact"/>
        <w:ind w:firstLine="428" w:firstLineChars="204"/>
        <w:rPr>
          <w:rFonts w:eastAsia="方正仿宋_GBK"/>
          <w:color w:val="262626"/>
          <w:szCs w:val="21"/>
        </w:rPr>
      </w:pPr>
      <w:r>
        <w:rPr>
          <w:rFonts w:eastAsia="方正仿宋_GBK"/>
          <w:color w:val="262626"/>
          <w:szCs w:val="21"/>
        </w:rPr>
        <w:t>（四）网上报名</w:t>
      </w:r>
    </w:p>
    <w:p w14:paraId="4B58E2E6">
      <w:pPr>
        <w:spacing w:line="360" w:lineRule="exact"/>
        <w:ind w:firstLine="428" w:firstLineChars="204"/>
        <w:rPr>
          <w:rFonts w:eastAsia="方正仿宋_GBK"/>
          <w:color w:val="262626"/>
          <w:szCs w:val="21"/>
        </w:rPr>
      </w:pPr>
      <w:r>
        <w:rPr>
          <w:rFonts w:eastAsia="方正仿宋_GBK"/>
          <w:color w:val="262626"/>
          <w:szCs w:val="21"/>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14:paraId="611D0233">
      <w:pPr>
        <w:spacing w:line="360" w:lineRule="exact"/>
        <w:ind w:firstLine="428" w:firstLineChars="204"/>
        <w:rPr>
          <w:rFonts w:eastAsia="方正仿宋_GBK"/>
          <w:color w:val="262626"/>
          <w:szCs w:val="21"/>
        </w:rPr>
      </w:pPr>
      <w:r>
        <w:rPr>
          <w:rFonts w:eastAsia="方正仿宋_GBK"/>
          <w:color w:val="262626"/>
          <w:szCs w:val="21"/>
        </w:rPr>
        <w:t>2.竞买申请人应当取得有效数字证书，方能参与网上交易竞买活动。详情请登录网上交易系统网站查看数字证书办理指南或咨询CA证书办理机构。</w:t>
      </w:r>
    </w:p>
    <w:p w14:paraId="577388FF">
      <w:pPr>
        <w:spacing w:line="360" w:lineRule="exact"/>
        <w:ind w:firstLine="428" w:firstLineChars="204"/>
        <w:rPr>
          <w:rFonts w:eastAsia="方正仿宋_GBK"/>
          <w:color w:val="262626"/>
          <w:szCs w:val="21"/>
        </w:rPr>
      </w:pPr>
      <w:r>
        <w:rPr>
          <w:rFonts w:eastAsia="方正仿宋_GBK"/>
          <w:color w:val="262626"/>
          <w:szCs w:val="21"/>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14:paraId="5F569148">
      <w:pPr>
        <w:spacing w:line="360" w:lineRule="exact"/>
        <w:ind w:firstLine="428" w:firstLineChars="204"/>
        <w:rPr>
          <w:rFonts w:eastAsia="方正仿宋_GBK"/>
          <w:color w:val="262626"/>
          <w:szCs w:val="21"/>
        </w:rPr>
      </w:pPr>
      <w:r>
        <w:rPr>
          <w:rFonts w:eastAsia="方正仿宋_GBK"/>
          <w:color w:val="262626"/>
          <w:szCs w:val="21"/>
        </w:rPr>
        <w:t>（五）保证金的交纳及相关规定</w:t>
      </w:r>
    </w:p>
    <w:p w14:paraId="48FA0237">
      <w:pPr>
        <w:spacing w:line="360" w:lineRule="exact"/>
        <w:ind w:firstLine="428" w:firstLineChars="204"/>
        <w:rPr>
          <w:rFonts w:eastAsia="方正仿宋_GBK"/>
          <w:color w:val="262626"/>
          <w:szCs w:val="21"/>
        </w:rPr>
      </w:pPr>
      <w:r>
        <w:rPr>
          <w:rFonts w:eastAsia="方正仿宋_GBK"/>
          <w:color w:val="262626"/>
          <w:szCs w:val="21"/>
        </w:rPr>
        <w:t>1.竞买保证金由申请人自行支付，不得代交。</w:t>
      </w:r>
    </w:p>
    <w:p w14:paraId="65660536">
      <w:pPr>
        <w:spacing w:line="360" w:lineRule="exact"/>
        <w:ind w:firstLine="428" w:firstLineChars="204"/>
        <w:rPr>
          <w:rFonts w:eastAsia="方正仿宋_GBK"/>
          <w:color w:val="262626"/>
          <w:szCs w:val="21"/>
        </w:rPr>
      </w:pPr>
      <w:r>
        <w:rPr>
          <w:rFonts w:eastAsia="方正仿宋_GBK"/>
          <w:color w:val="262626"/>
          <w:szCs w:val="21"/>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14:paraId="48C1496B">
      <w:pPr>
        <w:spacing w:line="360" w:lineRule="exact"/>
        <w:ind w:firstLine="428" w:firstLineChars="204"/>
        <w:rPr>
          <w:rFonts w:eastAsia="方正仿宋_GBK"/>
          <w:color w:val="262626"/>
          <w:szCs w:val="21"/>
        </w:rPr>
      </w:pPr>
      <w:r>
        <w:rPr>
          <w:rFonts w:eastAsia="方正仿宋_GBK"/>
          <w:color w:val="262626"/>
          <w:szCs w:val="21"/>
        </w:rPr>
        <w:t>申请人每次提交竞买申请及交纳竞买保证金只对应一宗采矿权，如申请人同时竞买多宗采矿权的，应分别提交申请并按时足额交纳竞买保证金。</w:t>
      </w:r>
    </w:p>
    <w:p w14:paraId="313598C6">
      <w:pPr>
        <w:spacing w:line="360" w:lineRule="exact"/>
        <w:ind w:firstLine="428" w:firstLineChars="204"/>
        <w:rPr>
          <w:rFonts w:eastAsia="方正仿宋_GBK"/>
          <w:color w:val="262626"/>
          <w:szCs w:val="21"/>
        </w:rPr>
      </w:pPr>
      <w:r>
        <w:rPr>
          <w:rFonts w:eastAsia="方正仿宋_GBK"/>
          <w:color w:val="262626"/>
          <w:szCs w:val="21"/>
        </w:rPr>
        <w:t>3.申请人应于报名期限内交纳竞买保证金人民币0.1万元（大写壹仟元整），竞买保证金交纳时间以银行确认的到账时间为准。竞买保证金到账截止时间为：2025年</w:t>
      </w:r>
      <w:r>
        <w:rPr>
          <w:rFonts w:hint="eastAsia" w:eastAsia="方正仿宋_GBK"/>
          <w:color w:val="262626"/>
          <w:szCs w:val="21"/>
        </w:rPr>
        <w:t>11</w:t>
      </w:r>
      <w:r>
        <w:rPr>
          <w:rFonts w:eastAsia="方正仿宋_GBK"/>
          <w:color w:val="262626"/>
          <w:szCs w:val="21"/>
        </w:rPr>
        <w:t>月</w:t>
      </w:r>
      <w:r>
        <w:rPr>
          <w:rFonts w:hint="eastAsia" w:eastAsia="方正仿宋_GBK"/>
          <w:color w:val="262626"/>
          <w:szCs w:val="21"/>
        </w:rPr>
        <w:t>26</w:t>
      </w:r>
      <w:r>
        <w:rPr>
          <w:rFonts w:eastAsia="方正仿宋_GBK"/>
          <w:color w:val="262626"/>
          <w:szCs w:val="21"/>
        </w:rPr>
        <w:t>日</w:t>
      </w:r>
      <w:r>
        <w:rPr>
          <w:rFonts w:hint="eastAsia" w:eastAsia="方正仿宋_GBK"/>
          <w:color w:val="262626"/>
          <w:szCs w:val="21"/>
        </w:rPr>
        <w:t>17：00</w:t>
      </w:r>
      <w:r>
        <w:rPr>
          <w:rFonts w:eastAsia="方正仿宋_GBK"/>
          <w:color w:val="262626"/>
          <w:szCs w:val="21"/>
        </w:rPr>
        <w:t>时</w:t>
      </w:r>
      <w:r>
        <w:rPr>
          <w:rFonts w:eastAsia="方正仿宋_GBK"/>
          <w:szCs w:val="21"/>
        </w:rPr>
        <w:t>。</w:t>
      </w:r>
    </w:p>
    <w:p w14:paraId="42790A8F">
      <w:pPr>
        <w:spacing w:line="360" w:lineRule="exact"/>
        <w:ind w:firstLine="428" w:firstLineChars="204"/>
        <w:rPr>
          <w:rFonts w:eastAsia="方正仿宋_GBK"/>
          <w:color w:val="262626"/>
          <w:szCs w:val="21"/>
        </w:rPr>
      </w:pPr>
      <w:r>
        <w:rPr>
          <w:rFonts w:eastAsia="方正仿宋_GBK"/>
          <w:color w:val="262626"/>
          <w:szCs w:val="21"/>
        </w:rPr>
        <w:t>为避免因竞买保证金到账时间延误，影响申请人顺利获取交易竞买资格，建议申请人在报名期限截止时间的1日前交纳竞买保证金。</w:t>
      </w:r>
    </w:p>
    <w:p w14:paraId="7F7D3A21">
      <w:pPr>
        <w:spacing w:line="360" w:lineRule="exact"/>
        <w:ind w:firstLine="428" w:firstLineChars="204"/>
        <w:rPr>
          <w:rFonts w:eastAsia="方正仿宋_GBK"/>
          <w:color w:val="262626"/>
          <w:szCs w:val="21"/>
        </w:rPr>
      </w:pPr>
      <w:r>
        <w:rPr>
          <w:rFonts w:eastAsia="方正仿宋_GBK"/>
          <w:color w:val="262626"/>
          <w:szCs w:val="21"/>
        </w:rPr>
        <w:t>4.保证金账户只接受银行转账或电汇方式，不接受现金或现金汇款。</w:t>
      </w:r>
    </w:p>
    <w:p w14:paraId="0A6C20D4">
      <w:pPr>
        <w:spacing w:line="360" w:lineRule="exact"/>
        <w:ind w:firstLine="428" w:firstLineChars="204"/>
        <w:rPr>
          <w:rFonts w:eastAsia="方正仿宋_GBK"/>
          <w:color w:val="262626"/>
          <w:szCs w:val="21"/>
        </w:rPr>
      </w:pPr>
      <w:r>
        <w:rPr>
          <w:rFonts w:eastAsia="方正仿宋_GBK"/>
          <w:color w:val="262626"/>
          <w:szCs w:val="21"/>
        </w:rPr>
        <w:t>5.申请人在规定时间内足额交纳了竞买保证金至指定账户的（以保证金到达指定账户时间为准），重庆市国有建设用地使用权和矿业权网上交易系统将自动颁发《保证金到账确认书》。</w:t>
      </w:r>
    </w:p>
    <w:p w14:paraId="1F262956">
      <w:pPr>
        <w:spacing w:line="360" w:lineRule="exact"/>
        <w:ind w:firstLine="428" w:firstLineChars="204"/>
        <w:rPr>
          <w:rFonts w:eastAsia="方正仿宋_GBK"/>
          <w:color w:val="262626"/>
          <w:szCs w:val="21"/>
        </w:rPr>
      </w:pPr>
      <w:r>
        <w:rPr>
          <w:rFonts w:eastAsia="方正仿宋_GBK"/>
          <w:color w:val="262626"/>
          <w:szCs w:val="21"/>
        </w:rPr>
        <w:t>如成功竞得，已缴纳的保证金可抵作矿业权出让收益，在出让合同签订后由竞得人向矿产资源所在地的税务部门申报，竞买保证金账户管理单位在规定期限内代竞得人向税务部门缴款；如未竞得，在成交日之后1个工作日内退还保证金及银行同期活期存款利息。</w:t>
      </w:r>
    </w:p>
    <w:p w14:paraId="2A6ED709">
      <w:pPr>
        <w:spacing w:line="360" w:lineRule="exact"/>
        <w:ind w:firstLine="428" w:firstLineChars="204"/>
        <w:rPr>
          <w:rFonts w:eastAsia="方正仿宋_GBK"/>
          <w:color w:val="262626"/>
          <w:szCs w:val="21"/>
        </w:rPr>
      </w:pPr>
      <w:r>
        <w:rPr>
          <w:rFonts w:eastAsia="方正仿宋_GBK"/>
          <w:color w:val="262626"/>
          <w:szCs w:val="21"/>
        </w:rPr>
        <w:t>（六）网上报名资格审核相关程序：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14:paraId="68C7D976">
      <w:pPr>
        <w:spacing w:line="360" w:lineRule="exact"/>
        <w:ind w:firstLine="428" w:firstLineChars="204"/>
        <w:rPr>
          <w:rFonts w:eastAsia="方正仿宋_GBK"/>
          <w:color w:val="262626"/>
          <w:szCs w:val="21"/>
        </w:rPr>
      </w:pPr>
      <w:r>
        <w:rPr>
          <w:rFonts w:ascii="方正黑体_GBK" w:hAnsi="方正黑体_GBK" w:eastAsia="方正黑体_GBK" w:cs="方正黑体_GBK"/>
          <w:color w:val="262626"/>
          <w:szCs w:val="21"/>
        </w:rPr>
        <w:t>五、确定竞得人的标准和方法</w:t>
      </w:r>
    </w:p>
    <w:p w14:paraId="65BB064C">
      <w:pPr>
        <w:spacing w:line="360" w:lineRule="exact"/>
        <w:ind w:firstLine="428" w:firstLineChars="204"/>
        <w:rPr>
          <w:rFonts w:eastAsia="方正仿宋_GBK"/>
          <w:color w:val="262626"/>
          <w:szCs w:val="21"/>
        </w:rPr>
      </w:pPr>
      <w:r>
        <w:rPr>
          <w:rFonts w:eastAsia="方正仿宋_GBK"/>
          <w:color w:val="262626"/>
          <w:szCs w:val="21"/>
        </w:rPr>
        <w:t>（一）网上拍卖时间：2025</w:t>
      </w:r>
      <w:r>
        <w:rPr>
          <w:rFonts w:hint="eastAsia" w:eastAsia="方正仿宋_GBK"/>
          <w:color w:val="262626"/>
          <w:szCs w:val="21"/>
        </w:rPr>
        <w:t>年</w:t>
      </w:r>
      <w:r>
        <w:rPr>
          <w:rFonts w:eastAsia="方正仿宋_GBK"/>
          <w:color w:val="262626"/>
          <w:szCs w:val="21"/>
        </w:rPr>
        <w:t>11</w:t>
      </w:r>
      <w:r>
        <w:rPr>
          <w:rFonts w:hint="eastAsia" w:eastAsia="方正仿宋_GBK"/>
          <w:color w:val="262626"/>
          <w:szCs w:val="21"/>
        </w:rPr>
        <w:t>月27日10：</w:t>
      </w:r>
      <w:r>
        <w:rPr>
          <w:rFonts w:eastAsia="方正仿宋_GBK"/>
          <w:color w:val="262626"/>
          <w:szCs w:val="21"/>
        </w:rPr>
        <w:t>00</w:t>
      </w:r>
      <w:r>
        <w:rPr>
          <w:rFonts w:hint="eastAsia" w:eastAsia="方正仿宋_GBK"/>
          <w:color w:val="262626"/>
          <w:szCs w:val="21"/>
        </w:rPr>
        <w:t>时</w:t>
      </w:r>
    </w:p>
    <w:p w14:paraId="04B72DEA">
      <w:pPr>
        <w:spacing w:line="360" w:lineRule="exact"/>
        <w:ind w:firstLine="428" w:firstLineChars="204"/>
        <w:rPr>
          <w:rFonts w:eastAsia="方正仿宋_GBK"/>
          <w:color w:val="262626"/>
          <w:szCs w:val="21"/>
        </w:rPr>
      </w:pPr>
      <w:r>
        <w:rPr>
          <w:rFonts w:eastAsia="方正仿宋_GBK"/>
          <w:color w:val="262626"/>
          <w:szCs w:val="21"/>
        </w:rPr>
        <w:t>（二）网上拍卖交易：</w:t>
      </w:r>
    </w:p>
    <w:p w14:paraId="5AF2DDAF">
      <w:pPr>
        <w:spacing w:line="360" w:lineRule="exact"/>
        <w:ind w:firstLine="428" w:firstLineChars="204"/>
        <w:rPr>
          <w:rFonts w:eastAsia="方正仿宋_GBK"/>
          <w:color w:val="262626"/>
          <w:szCs w:val="21"/>
        </w:rPr>
      </w:pPr>
      <w:r>
        <w:rPr>
          <w:rFonts w:eastAsia="方正仿宋_GBK"/>
          <w:color w:val="262626"/>
          <w:szCs w:val="21"/>
        </w:rPr>
        <w:t>1.本次网上拍卖出让设置有底价，采用网上增价报价的方式，起拍价为出让收益起始价，增加幅度为0.1万元或0.1万元的整数倍，按照不低于底价的最高报价者得原则确定竞得人。</w:t>
      </w:r>
    </w:p>
    <w:p w14:paraId="5AC00A29">
      <w:pPr>
        <w:spacing w:line="360" w:lineRule="exact"/>
        <w:ind w:firstLine="428" w:firstLineChars="204"/>
        <w:rPr>
          <w:rFonts w:eastAsia="方正仿宋_GBK"/>
          <w:color w:val="262626"/>
          <w:szCs w:val="21"/>
        </w:rPr>
      </w:pPr>
      <w:r>
        <w:rPr>
          <w:rFonts w:eastAsia="方正仿宋_GBK"/>
          <w:color w:val="262626"/>
          <w:szCs w:val="21"/>
        </w:rPr>
        <w:t>2.获得竞买资格的竞买人通过网上交易系统进行竞价。竞买人应当谨慎报价，报价一经提交，不得修改或撤回。</w:t>
      </w:r>
    </w:p>
    <w:p w14:paraId="3E659424">
      <w:pPr>
        <w:spacing w:line="360" w:lineRule="exact"/>
        <w:ind w:firstLine="428" w:firstLineChars="204"/>
        <w:rPr>
          <w:rFonts w:eastAsia="方正仿宋_GBK"/>
          <w:color w:val="262626"/>
          <w:szCs w:val="21"/>
        </w:rPr>
      </w:pPr>
      <w:r>
        <w:rPr>
          <w:rFonts w:hint="eastAsia" w:eastAsia="方正仿宋_GBK"/>
          <w:color w:val="262626"/>
          <w:szCs w:val="21"/>
        </w:rPr>
        <w:t>3.网上拍卖时，网上交易系统以4分钟倒计时为竞价时限，若在4分钟倒计时内有新的报价，网上交易系统即从接受新的报价起再重新倒计时。若拍卖开始后，首个4分钟倒计时内均无人报价，则网上拍卖终止，采矿权不成交。</w:t>
      </w:r>
    </w:p>
    <w:p w14:paraId="42EBDECE">
      <w:pPr>
        <w:spacing w:line="360" w:lineRule="exact"/>
        <w:ind w:firstLine="428" w:firstLineChars="204"/>
        <w:rPr>
          <w:rFonts w:eastAsia="方正仿宋_GBK"/>
          <w:color w:val="262626"/>
          <w:szCs w:val="21"/>
        </w:rPr>
      </w:pPr>
      <w:r>
        <w:rPr>
          <w:rFonts w:hint="eastAsia" w:eastAsia="方正仿宋_GBK"/>
          <w:color w:val="262626"/>
          <w:szCs w:val="21"/>
        </w:rPr>
        <w:t>4.4分钟倒计时截止，网上交易系统将不再接受新的报价，以最后一次报价为最终报价，网上交易系统自动判断竞价是否成功。</w:t>
      </w:r>
    </w:p>
    <w:p w14:paraId="02659376">
      <w:pPr>
        <w:spacing w:line="360" w:lineRule="exact"/>
        <w:ind w:firstLine="428" w:firstLineChars="204"/>
        <w:rPr>
          <w:rFonts w:eastAsia="方正仿宋_GBK"/>
          <w:color w:val="262626"/>
          <w:szCs w:val="21"/>
        </w:rPr>
      </w:pPr>
      <w:r>
        <w:rPr>
          <w:rFonts w:eastAsia="方正仿宋_GBK"/>
          <w:color w:val="262626"/>
          <w:szCs w:val="21"/>
        </w:rPr>
        <w:t>5.网上拍卖结束时，网上交易系统将自动关闭报价通道，并公布竞价结果同时网上交易系统将向竞得人自动核发《竞得入选人通知书》。</w:t>
      </w:r>
    </w:p>
    <w:p w14:paraId="5480AA3A">
      <w:pPr>
        <w:spacing w:line="360" w:lineRule="exact"/>
        <w:ind w:firstLine="428" w:firstLineChars="204"/>
        <w:rPr>
          <w:rFonts w:eastAsia="方正仿宋_GBK"/>
          <w:color w:val="262626"/>
          <w:szCs w:val="21"/>
        </w:rPr>
      </w:pPr>
      <w:r>
        <w:rPr>
          <w:rFonts w:eastAsia="方正仿宋_GBK"/>
          <w:color w:val="262626"/>
          <w:szCs w:val="21"/>
        </w:rPr>
        <w:t>（三）成交确认书签订：该宗采矿权网上交易实行竞买资格前审制度，竞得入选人须在竞价完成后2个工作日内持《竞得入选人通知书》及报名资料纸质件与重庆市公共资源交易中心签订《采矿权出让成交确认书》。</w:t>
      </w:r>
    </w:p>
    <w:p w14:paraId="5F4CE965">
      <w:pPr>
        <w:spacing w:line="360" w:lineRule="exact"/>
        <w:ind w:firstLine="428" w:firstLineChars="204"/>
        <w:rPr>
          <w:rFonts w:eastAsia="方正仿宋_GBK"/>
          <w:color w:val="262626"/>
          <w:szCs w:val="21"/>
        </w:rPr>
      </w:pPr>
      <w:r>
        <w:rPr>
          <w:rFonts w:eastAsia="方正仿宋_GBK"/>
          <w:color w:val="262626"/>
          <w:szCs w:val="21"/>
        </w:rPr>
        <w:t>（四）成交公示：拍卖成交后的竞得人按规定即时签订《成交确认书》，成交结果在相关网站公示10个工作日。</w:t>
      </w:r>
    </w:p>
    <w:p w14:paraId="660286E7">
      <w:pPr>
        <w:spacing w:line="360" w:lineRule="exact"/>
        <w:ind w:firstLine="428" w:firstLineChars="204"/>
        <w:rPr>
          <w:rFonts w:eastAsia="方正仿宋_GBK"/>
          <w:color w:val="262626"/>
          <w:szCs w:val="21"/>
        </w:rPr>
      </w:pPr>
      <w:r>
        <w:rPr>
          <w:rFonts w:eastAsia="方正仿宋_GBK"/>
          <w:color w:val="262626"/>
          <w:szCs w:val="21"/>
        </w:rPr>
        <w:t>（五）网上拍卖程序及竞得方式按照《中华人民共和国拍卖法》及重庆市有关规定执行。如在拍卖程序中，本采矿权因监管部门要求需终止交易行为的，在告知竞买人后，退还采矿权竞买人已交纳的竞买保证金。</w:t>
      </w:r>
    </w:p>
    <w:p w14:paraId="38AECEC6">
      <w:pPr>
        <w:spacing w:line="360" w:lineRule="exact"/>
        <w:ind w:firstLine="428" w:firstLineChars="204"/>
        <w:rPr>
          <w:rFonts w:ascii="方正黑体_GBK" w:hAnsi="方正黑体_GBK" w:eastAsia="方正黑体_GBK" w:cs="方正黑体_GBK"/>
          <w:color w:val="262626"/>
          <w:szCs w:val="21"/>
        </w:rPr>
      </w:pPr>
      <w:r>
        <w:rPr>
          <w:rFonts w:ascii="方正黑体_GBK" w:hAnsi="方正黑体_GBK" w:eastAsia="方正黑体_GBK" w:cs="方正黑体_GBK"/>
          <w:color w:val="262626"/>
          <w:szCs w:val="21"/>
        </w:rPr>
        <w:t>六、出让收益的缴纳</w:t>
      </w:r>
    </w:p>
    <w:p w14:paraId="53CD4569">
      <w:pPr>
        <w:spacing w:line="360" w:lineRule="exact"/>
        <w:ind w:firstLine="428" w:firstLineChars="204"/>
        <w:rPr>
          <w:rFonts w:eastAsia="方正仿宋_GBK"/>
          <w:color w:val="262626"/>
          <w:szCs w:val="21"/>
        </w:rPr>
      </w:pPr>
      <w:r>
        <w:rPr>
          <w:rFonts w:eastAsia="方正仿宋_GBK"/>
          <w:color w:val="262626"/>
          <w:szCs w:val="21"/>
        </w:rPr>
        <w:t>该宗采矿权按照出让收益率形式征收出让收益，在出让合同签订后一次性缴纳确定的成交价部分；在矿山开采时，按矿业权出让收益率（水温低于60℃的地热为3.6%）逐年缴纳采矿阶段出让收益（收益率部分）（逐年征收的采矿权出让收益=年度矿产品销售收入×矿业权出让收益率）。</w:t>
      </w:r>
    </w:p>
    <w:p w14:paraId="1C93E44E">
      <w:pPr>
        <w:spacing w:line="360" w:lineRule="exact"/>
        <w:ind w:firstLine="428" w:firstLineChars="204"/>
        <w:rPr>
          <w:rFonts w:eastAsia="方正仿宋_GBK"/>
          <w:color w:val="262626"/>
          <w:szCs w:val="21"/>
        </w:rPr>
      </w:pPr>
      <w:r>
        <w:rPr>
          <w:rFonts w:ascii="方正黑体_GBK" w:hAnsi="方正黑体_GBK" w:eastAsia="方正黑体_GBK" w:cs="方正黑体_GBK"/>
          <w:color w:val="262626"/>
          <w:szCs w:val="21"/>
        </w:rPr>
        <w:t>七、风险提示</w:t>
      </w:r>
    </w:p>
    <w:p w14:paraId="2C8DC518">
      <w:pPr>
        <w:spacing w:line="360" w:lineRule="exact"/>
        <w:ind w:firstLine="428" w:firstLineChars="204"/>
        <w:rPr>
          <w:rFonts w:eastAsia="方正仿宋_GBK"/>
          <w:color w:val="262626"/>
          <w:szCs w:val="21"/>
        </w:rPr>
      </w:pPr>
      <w:r>
        <w:rPr>
          <w:rFonts w:eastAsia="方正仿宋_GBK"/>
          <w:color w:val="262626"/>
          <w:szCs w:val="21"/>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拟出让采矿权现状和出让文件已完全认可并自愿承担所有风险。</w:t>
      </w:r>
    </w:p>
    <w:p w14:paraId="0D7BAB20">
      <w:pPr>
        <w:spacing w:line="360" w:lineRule="exact"/>
        <w:ind w:firstLine="428" w:firstLineChars="204"/>
        <w:rPr>
          <w:rFonts w:eastAsia="方正仿宋_GBK"/>
          <w:color w:val="262626"/>
          <w:szCs w:val="21"/>
        </w:rPr>
      </w:pPr>
      <w:r>
        <w:rPr>
          <w:rFonts w:eastAsia="方正仿宋_GBK"/>
          <w:color w:val="262626"/>
          <w:szCs w:val="21"/>
        </w:rPr>
        <w:t>（二）本地热为新设矿山，出让的采矿权不包括土地使用权及其他物权，其开采井口位于江北区铜锣峡温泉的存量国有建设用地宗地范围内，开采井口、生产生活及办公区、进场道路等其他设施用地采取租赁方式保障。有关该宗采矿权的用地、用水、用电、公路、环保、基础设施</w:t>
      </w:r>
      <w:r>
        <w:rPr>
          <w:rFonts w:hint="eastAsia" w:eastAsia="方正仿宋_GBK"/>
          <w:color w:val="262626"/>
          <w:szCs w:val="21"/>
        </w:rPr>
        <w:t>及租赁</w:t>
      </w:r>
      <w:r>
        <w:rPr>
          <w:rFonts w:eastAsia="方正仿宋_GBK"/>
          <w:color w:val="262626"/>
          <w:szCs w:val="21"/>
        </w:rPr>
        <w:t>等工作，由竞得人自行负责解决并依法完善相关手续。</w:t>
      </w:r>
    </w:p>
    <w:p w14:paraId="1916FF2E">
      <w:pPr>
        <w:spacing w:line="360" w:lineRule="exact"/>
        <w:ind w:firstLine="428" w:firstLineChars="204"/>
        <w:rPr>
          <w:rFonts w:eastAsia="方正仿宋_GBK"/>
          <w:color w:val="262626"/>
          <w:szCs w:val="21"/>
        </w:rPr>
      </w:pPr>
      <w:r>
        <w:rPr>
          <w:rFonts w:eastAsia="方正仿宋_GBK"/>
          <w:color w:val="262626"/>
          <w:szCs w:val="21"/>
        </w:rPr>
        <w:t>（三）若竞得人竞得该宗采矿权后，在办理采矿登记前进行安全、环境评价等认定为不适宜开采的，该宗采矿权按不成交处理。</w:t>
      </w:r>
    </w:p>
    <w:p w14:paraId="08843F16">
      <w:pPr>
        <w:spacing w:line="360" w:lineRule="exact"/>
        <w:ind w:firstLine="428" w:firstLineChars="204"/>
        <w:rPr>
          <w:rFonts w:eastAsia="方正仿宋_GBK"/>
          <w:color w:val="262626"/>
          <w:szCs w:val="21"/>
        </w:rPr>
      </w:pPr>
      <w:r>
        <w:rPr>
          <w:rFonts w:eastAsia="方正仿宋_GBK"/>
          <w:color w:val="262626"/>
          <w:szCs w:val="21"/>
        </w:rPr>
        <w:t>（四）网络安全风险提示。申请人或竞得人网上报名行为所产生的法律后果，由申请人或竞得人自行承担。</w:t>
      </w:r>
    </w:p>
    <w:p w14:paraId="20982211">
      <w:pPr>
        <w:spacing w:line="360" w:lineRule="exact"/>
        <w:ind w:firstLine="428" w:firstLineChars="204"/>
        <w:rPr>
          <w:rFonts w:eastAsia="方正仿宋_GBK"/>
          <w:color w:val="262626"/>
          <w:szCs w:val="21"/>
        </w:rPr>
      </w:pPr>
      <w:r>
        <w:rPr>
          <w:rFonts w:eastAsia="方正仿宋_GBK"/>
          <w:color w:val="262626"/>
          <w:szCs w:val="21"/>
        </w:rPr>
        <w:t>1.操作系统请使用Win10及以上；浏览器请使用Edge浏览器，其它操作系统与浏览器可能会影响申请人正常参与网上报名活动。因浏览器使用不当引致的后果由申请人自行承担</w:t>
      </w:r>
      <w:r>
        <w:rPr>
          <w:rFonts w:hint="eastAsia" w:eastAsia="方正仿宋_GBK"/>
          <w:color w:val="262626"/>
          <w:szCs w:val="21"/>
        </w:rPr>
        <w:t>。</w:t>
      </w:r>
    </w:p>
    <w:p w14:paraId="0359144E">
      <w:pPr>
        <w:spacing w:line="360" w:lineRule="exact"/>
        <w:ind w:firstLine="428" w:firstLineChars="204"/>
        <w:rPr>
          <w:rFonts w:eastAsia="方正仿宋_GBK"/>
          <w:color w:val="262626"/>
          <w:szCs w:val="21"/>
        </w:rPr>
      </w:pPr>
      <w:r>
        <w:rPr>
          <w:rFonts w:eastAsia="方正仿宋_GBK"/>
          <w:color w:val="262626"/>
          <w:szCs w:val="21"/>
        </w:rPr>
        <w:t>2.申请人应妥善保管数字证书及其密码，凡在互联网使用数字证书登录交易系统所实施的行为，视为申请人的真实意思表示或经过申请人的合法授权，行为所产生的法律后果及责任由申请人自行承担。</w:t>
      </w:r>
    </w:p>
    <w:p w14:paraId="4A0533FB">
      <w:pPr>
        <w:spacing w:line="360" w:lineRule="exact"/>
        <w:ind w:firstLine="428" w:firstLineChars="204"/>
        <w:rPr>
          <w:rFonts w:eastAsia="方正仿宋_GBK"/>
          <w:color w:val="262626"/>
          <w:szCs w:val="21"/>
        </w:rPr>
      </w:pPr>
      <w:r>
        <w:rPr>
          <w:rFonts w:eastAsia="方正仿宋_GBK"/>
          <w:color w:val="262626"/>
          <w:szCs w:val="21"/>
        </w:rPr>
        <w:t>因网上交易系统出现故障，造成采矿权网上交易出现异常情况的，按照《重庆市国有建设用地使用权和矿业权网上交易应急处置暂行规定》的有关规定进行处置。</w:t>
      </w:r>
    </w:p>
    <w:p w14:paraId="62E06AD4">
      <w:pPr>
        <w:spacing w:line="360" w:lineRule="exact"/>
        <w:ind w:firstLine="428" w:firstLineChars="204"/>
        <w:rPr>
          <w:rFonts w:ascii="方正黑体_GBK" w:hAnsi="方正黑体_GBK" w:eastAsia="方正黑体_GBK" w:cs="方正黑体_GBK"/>
          <w:color w:val="262626"/>
          <w:szCs w:val="21"/>
        </w:rPr>
      </w:pPr>
      <w:r>
        <w:rPr>
          <w:rFonts w:ascii="方正黑体_GBK" w:hAnsi="方正黑体_GBK" w:eastAsia="方正黑体_GBK" w:cs="方正黑体_GBK"/>
          <w:color w:val="262626"/>
          <w:szCs w:val="21"/>
        </w:rPr>
        <w:t>八、违约责任、公共资源交易领域失信联合惩戒相关提示</w:t>
      </w:r>
    </w:p>
    <w:p w14:paraId="0BA17976">
      <w:pPr>
        <w:spacing w:line="360" w:lineRule="exact"/>
        <w:ind w:firstLine="428" w:firstLineChars="204"/>
        <w:rPr>
          <w:rFonts w:eastAsia="方正仿宋_GBK"/>
          <w:color w:val="262626"/>
          <w:szCs w:val="21"/>
        </w:rPr>
      </w:pPr>
      <w:r>
        <w:rPr>
          <w:rFonts w:eastAsia="方正仿宋_GBK"/>
          <w:color w:val="262626"/>
          <w:szCs w:val="21"/>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22C6F8FD">
      <w:pPr>
        <w:spacing w:line="360" w:lineRule="exact"/>
        <w:ind w:firstLine="428" w:firstLineChars="204"/>
        <w:rPr>
          <w:rFonts w:eastAsia="方正仿宋_GBK"/>
          <w:color w:val="262626"/>
          <w:szCs w:val="21"/>
        </w:rPr>
      </w:pPr>
      <w:r>
        <w:rPr>
          <w:rFonts w:eastAsia="方正仿宋_GBK"/>
          <w:color w:val="262626"/>
          <w:szCs w:val="21"/>
        </w:rPr>
        <w:t>（二）有下列情形之一的，视为竞买人、竞得人违约，竞得结果无效，并将其列入失信联合惩戒名单、竞买保证金不予退还，出让方有权不再签订出让合同或解除合同：</w:t>
      </w:r>
    </w:p>
    <w:p w14:paraId="53FD5596">
      <w:pPr>
        <w:spacing w:line="360" w:lineRule="exact"/>
        <w:ind w:firstLine="428" w:firstLineChars="204"/>
        <w:rPr>
          <w:rFonts w:eastAsia="方正仿宋_GBK"/>
          <w:color w:val="262626"/>
          <w:szCs w:val="21"/>
        </w:rPr>
      </w:pPr>
      <w:r>
        <w:rPr>
          <w:rFonts w:eastAsia="方正仿宋_GBK"/>
          <w:color w:val="262626"/>
          <w:szCs w:val="21"/>
        </w:rPr>
        <w:t>1.竞买人之间串通报价，损害国家利益、社会公共利益或者他人合法权益的；</w:t>
      </w:r>
    </w:p>
    <w:p w14:paraId="3EBE5E25">
      <w:pPr>
        <w:spacing w:line="360" w:lineRule="exact"/>
        <w:ind w:firstLine="428" w:firstLineChars="204"/>
        <w:rPr>
          <w:rFonts w:eastAsia="方正仿宋_GBK"/>
          <w:color w:val="262626"/>
          <w:szCs w:val="21"/>
        </w:rPr>
      </w:pPr>
      <w:r>
        <w:rPr>
          <w:rFonts w:eastAsia="方正仿宋_GBK"/>
          <w:color w:val="262626"/>
          <w:szCs w:val="21"/>
        </w:rPr>
        <w:t>2.竞买人弄虚作假，骗取交易资格或竞得的；</w:t>
      </w:r>
    </w:p>
    <w:p w14:paraId="7DC466DC">
      <w:pPr>
        <w:spacing w:line="360" w:lineRule="exact"/>
        <w:ind w:firstLine="428" w:firstLineChars="204"/>
        <w:rPr>
          <w:rFonts w:eastAsia="方正仿宋_GBK"/>
          <w:color w:val="262626"/>
          <w:szCs w:val="21"/>
        </w:rPr>
      </w:pPr>
      <w:r>
        <w:rPr>
          <w:rFonts w:eastAsia="方正仿宋_GBK"/>
          <w:color w:val="262626"/>
          <w:szCs w:val="21"/>
        </w:rPr>
        <w:t>3.采取行贿或其他不正当手段竞得的；</w:t>
      </w:r>
    </w:p>
    <w:p w14:paraId="76215F81">
      <w:pPr>
        <w:spacing w:line="360" w:lineRule="exact"/>
        <w:ind w:firstLine="428" w:firstLineChars="204"/>
        <w:rPr>
          <w:rFonts w:eastAsia="方正仿宋_GBK"/>
          <w:color w:val="262626"/>
          <w:szCs w:val="21"/>
        </w:rPr>
      </w:pPr>
      <w:r>
        <w:rPr>
          <w:rFonts w:eastAsia="方正仿宋_GBK"/>
          <w:color w:val="262626"/>
          <w:szCs w:val="21"/>
        </w:rPr>
        <w:t>4.竞得人逾期不签订或者拒绝签订成交确认书的；</w:t>
      </w:r>
    </w:p>
    <w:p w14:paraId="6E9BE9BB">
      <w:pPr>
        <w:spacing w:line="360" w:lineRule="exact"/>
        <w:ind w:firstLine="428" w:firstLineChars="204"/>
        <w:rPr>
          <w:rFonts w:eastAsia="方正仿宋_GBK"/>
          <w:color w:val="262626"/>
          <w:szCs w:val="21"/>
        </w:rPr>
      </w:pPr>
      <w:r>
        <w:rPr>
          <w:rFonts w:eastAsia="方正仿宋_GBK"/>
          <w:color w:val="262626"/>
          <w:szCs w:val="21"/>
        </w:rPr>
        <w:t>5.竞得人逾期不签订或者拒绝签订出让合同的；</w:t>
      </w:r>
    </w:p>
    <w:p w14:paraId="4598C13C">
      <w:pPr>
        <w:spacing w:line="360" w:lineRule="exact"/>
        <w:ind w:firstLine="428" w:firstLineChars="204"/>
        <w:rPr>
          <w:rFonts w:eastAsia="方正仿宋_GBK"/>
          <w:color w:val="262626"/>
          <w:szCs w:val="21"/>
        </w:rPr>
      </w:pPr>
      <w:r>
        <w:rPr>
          <w:rFonts w:eastAsia="方正仿宋_GBK"/>
          <w:color w:val="262626"/>
          <w:szCs w:val="21"/>
        </w:rPr>
        <w:t>6.其他依法应当认定为违约的情形。</w:t>
      </w:r>
    </w:p>
    <w:p w14:paraId="4DFCAD7A">
      <w:pPr>
        <w:spacing w:line="360" w:lineRule="exact"/>
        <w:ind w:firstLine="428" w:firstLineChars="204"/>
        <w:rPr>
          <w:rFonts w:eastAsia="方正仿宋_GBK"/>
          <w:color w:val="262626"/>
          <w:szCs w:val="21"/>
        </w:rPr>
      </w:pPr>
      <w:r>
        <w:rPr>
          <w:rFonts w:ascii="方正黑体_GBK" w:hAnsi="方正黑体_GBK" w:eastAsia="方正黑体_GBK" w:cs="方正黑体_GBK"/>
          <w:color w:val="262626"/>
          <w:szCs w:val="21"/>
        </w:rPr>
        <w:t>九、出让合同签订事宜说明</w:t>
      </w:r>
    </w:p>
    <w:p w14:paraId="7DD12D04">
      <w:pPr>
        <w:spacing w:line="360" w:lineRule="exact"/>
        <w:ind w:firstLine="428" w:firstLineChars="204"/>
        <w:rPr>
          <w:rFonts w:eastAsia="方正仿宋_GBK"/>
          <w:color w:val="262626"/>
          <w:szCs w:val="21"/>
        </w:rPr>
      </w:pPr>
      <w:r>
        <w:rPr>
          <w:rFonts w:eastAsia="方正仿宋_GBK"/>
          <w:color w:val="262626"/>
          <w:szCs w:val="21"/>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14:paraId="410B3419">
      <w:pPr>
        <w:spacing w:line="360" w:lineRule="exact"/>
        <w:ind w:firstLine="428" w:firstLineChars="204"/>
        <w:rPr>
          <w:rFonts w:eastAsia="方正仿宋_GBK"/>
          <w:color w:val="262626"/>
          <w:szCs w:val="21"/>
        </w:rPr>
      </w:pPr>
      <w:r>
        <w:rPr>
          <w:rFonts w:eastAsia="方正仿宋_GBK"/>
          <w:color w:val="262626"/>
          <w:szCs w:val="21"/>
        </w:rPr>
        <w:t>1.采矿权出让合同签订申请书（原件1份）；</w:t>
      </w:r>
    </w:p>
    <w:p w14:paraId="701ADDB3">
      <w:pPr>
        <w:spacing w:line="360" w:lineRule="exact"/>
        <w:ind w:firstLine="428" w:firstLineChars="204"/>
        <w:rPr>
          <w:rFonts w:eastAsia="方正仿宋_GBK"/>
          <w:color w:val="262626"/>
          <w:szCs w:val="21"/>
        </w:rPr>
      </w:pPr>
      <w:r>
        <w:rPr>
          <w:rFonts w:eastAsia="方正仿宋_GBK"/>
          <w:color w:val="262626"/>
          <w:szCs w:val="21"/>
        </w:rPr>
        <w:t>2.采矿权成交确认书（复印件1份）；</w:t>
      </w:r>
    </w:p>
    <w:p w14:paraId="27D74EBF">
      <w:pPr>
        <w:spacing w:line="360" w:lineRule="exact"/>
        <w:ind w:firstLine="428" w:firstLineChars="204"/>
        <w:rPr>
          <w:rFonts w:eastAsia="方正仿宋_GBK"/>
          <w:color w:val="262626"/>
          <w:szCs w:val="21"/>
        </w:rPr>
      </w:pPr>
      <w:r>
        <w:rPr>
          <w:rFonts w:eastAsia="方正仿宋_GBK"/>
          <w:color w:val="262626"/>
          <w:szCs w:val="21"/>
        </w:rPr>
        <w:t>3.工商营业执照副本（复印件1份）；</w:t>
      </w:r>
    </w:p>
    <w:p w14:paraId="500AA0B4">
      <w:pPr>
        <w:spacing w:line="360" w:lineRule="exact"/>
        <w:ind w:firstLine="428" w:firstLineChars="204"/>
        <w:rPr>
          <w:rFonts w:eastAsia="方正仿宋_GBK"/>
          <w:color w:val="262626"/>
          <w:szCs w:val="21"/>
        </w:rPr>
      </w:pPr>
      <w:r>
        <w:rPr>
          <w:rFonts w:eastAsia="方正仿宋_GBK"/>
          <w:color w:val="262626"/>
          <w:szCs w:val="21"/>
        </w:rPr>
        <w:t>4.法人身份证明（复印件1份）；</w:t>
      </w:r>
    </w:p>
    <w:p w14:paraId="0231177D">
      <w:pPr>
        <w:spacing w:line="360" w:lineRule="exact"/>
        <w:ind w:firstLine="428" w:firstLineChars="204"/>
        <w:rPr>
          <w:rFonts w:eastAsia="方正仿宋_GBK"/>
          <w:color w:val="262626"/>
          <w:szCs w:val="21"/>
        </w:rPr>
      </w:pPr>
      <w:r>
        <w:rPr>
          <w:rFonts w:eastAsia="方正仿宋_GBK"/>
          <w:color w:val="262626"/>
          <w:szCs w:val="21"/>
        </w:rPr>
        <w:t>5.法人不能亲自办理的应提供《授权委托书》（原件1份）；</w:t>
      </w:r>
    </w:p>
    <w:p w14:paraId="5DB0BBD5">
      <w:pPr>
        <w:spacing w:line="360" w:lineRule="exact"/>
        <w:ind w:firstLine="428" w:firstLineChars="204"/>
        <w:rPr>
          <w:rFonts w:eastAsia="方正仿宋_GBK"/>
          <w:color w:val="262626"/>
          <w:szCs w:val="21"/>
        </w:rPr>
      </w:pPr>
      <w:r>
        <w:rPr>
          <w:rFonts w:eastAsia="方正仿宋_GBK"/>
          <w:color w:val="262626"/>
          <w:szCs w:val="21"/>
        </w:rPr>
        <w:t>6.受托人身份证明（复印件1份）；</w:t>
      </w:r>
    </w:p>
    <w:p w14:paraId="74175B52">
      <w:pPr>
        <w:spacing w:line="360" w:lineRule="exact"/>
        <w:ind w:firstLine="428" w:firstLineChars="204"/>
        <w:rPr>
          <w:rFonts w:eastAsia="方正仿宋_GBK"/>
          <w:color w:val="262626"/>
          <w:szCs w:val="21"/>
        </w:rPr>
      </w:pPr>
      <w:r>
        <w:rPr>
          <w:rFonts w:eastAsia="方正仿宋_GBK"/>
          <w:color w:val="262626"/>
          <w:szCs w:val="21"/>
        </w:rPr>
        <w:t>7.按照成交结果完善的《重庆市采矿权出让合同》签章件6份（原件）。</w:t>
      </w:r>
    </w:p>
    <w:p w14:paraId="526365DA">
      <w:pPr>
        <w:spacing w:line="360" w:lineRule="exact"/>
        <w:ind w:firstLine="428" w:firstLineChars="204"/>
        <w:rPr>
          <w:rFonts w:ascii="方正黑体_GBK" w:hAnsi="方正黑体_GBK" w:eastAsia="方正黑体_GBK" w:cs="方正黑体_GBK"/>
          <w:color w:val="262626"/>
          <w:szCs w:val="21"/>
        </w:rPr>
      </w:pPr>
      <w:r>
        <w:rPr>
          <w:rFonts w:ascii="方正黑体_GBK" w:hAnsi="方正黑体_GBK" w:eastAsia="方正黑体_GBK" w:cs="方正黑体_GBK"/>
          <w:color w:val="262626"/>
          <w:szCs w:val="21"/>
        </w:rPr>
        <w:t>十、对交易矿业权异议的处理方式</w:t>
      </w:r>
    </w:p>
    <w:p w14:paraId="11965E40">
      <w:pPr>
        <w:spacing w:line="360" w:lineRule="exact"/>
        <w:ind w:firstLine="428" w:firstLineChars="204"/>
        <w:rPr>
          <w:rFonts w:eastAsia="方正仿宋_GBK"/>
          <w:color w:val="262626"/>
          <w:szCs w:val="21"/>
        </w:rPr>
      </w:pPr>
      <w:r>
        <w:rPr>
          <w:rFonts w:eastAsia="方正仿宋_GBK"/>
          <w:color w:val="262626"/>
          <w:szCs w:val="21"/>
        </w:rPr>
        <w:t>对本次出让的采矿权存有异议的，应在采矿权出让公告期截止前以书面方式向重庆市江北区规划和自然资源局提出（联系人：陈老师，联系电话：023-67857139）。根据所提异议的具体情况，按照《矿业权出让交易规则》（自然资规〔2023〕1号）等相关规定进行妥善处置。</w:t>
      </w:r>
    </w:p>
    <w:p w14:paraId="5E72D2D9">
      <w:pPr>
        <w:spacing w:line="360" w:lineRule="exact"/>
        <w:ind w:firstLine="428" w:firstLineChars="204"/>
        <w:rPr>
          <w:rFonts w:ascii="方正黑体_GBK" w:hAnsi="方正黑体_GBK" w:eastAsia="方正黑体_GBK" w:cs="方正黑体_GBK"/>
          <w:color w:val="262626"/>
          <w:szCs w:val="21"/>
        </w:rPr>
      </w:pPr>
      <w:r>
        <w:rPr>
          <w:rFonts w:ascii="方正黑体_GBK" w:hAnsi="方正黑体_GBK" w:eastAsia="方正黑体_GBK" w:cs="方正黑体_GBK"/>
          <w:color w:val="262626"/>
          <w:szCs w:val="21"/>
        </w:rPr>
        <w:t>十一、交易中止或终止</w:t>
      </w:r>
    </w:p>
    <w:p w14:paraId="2E5B000D">
      <w:pPr>
        <w:spacing w:line="360" w:lineRule="exact"/>
        <w:ind w:firstLine="428" w:firstLineChars="204"/>
        <w:rPr>
          <w:rFonts w:eastAsia="方正仿宋_GBK"/>
          <w:color w:val="262626"/>
          <w:szCs w:val="21"/>
        </w:rPr>
      </w:pPr>
      <w:r>
        <w:rPr>
          <w:rFonts w:eastAsia="方正仿宋_GBK"/>
          <w:color w:val="262626"/>
          <w:szCs w:val="21"/>
        </w:rPr>
        <w:t>（一）有下列情形之一的，市公共资源交易中心将发布中止网上交易公告，并中止网上交易活动：</w:t>
      </w:r>
    </w:p>
    <w:p w14:paraId="4CB33CD0">
      <w:pPr>
        <w:spacing w:line="360" w:lineRule="exact"/>
        <w:ind w:firstLine="428" w:firstLineChars="204"/>
        <w:rPr>
          <w:rFonts w:eastAsia="方正仿宋_GBK"/>
          <w:color w:val="262626"/>
          <w:szCs w:val="21"/>
        </w:rPr>
      </w:pPr>
      <w:r>
        <w:rPr>
          <w:rFonts w:eastAsia="方正仿宋_GBK"/>
          <w:color w:val="262626"/>
          <w:szCs w:val="21"/>
        </w:rPr>
        <w:t>1.公告公示期间发现出让的矿业权权属争议尚未解决的；</w:t>
      </w:r>
    </w:p>
    <w:p w14:paraId="253F3909">
      <w:pPr>
        <w:spacing w:line="360" w:lineRule="exact"/>
        <w:ind w:firstLine="428" w:firstLineChars="204"/>
        <w:rPr>
          <w:rFonts w:eastAsia="方正仿宋_GBK"/>
          <w:color w:val="262626"/>
          <w:szCs w:val="21"/>
        </w:rPr>
      </w:pPr>
      <w:r>
        <w:rPr>
          <w:rFonts w:eastAsia="方正仿宋_GBK"/>
          <w:color w:val="262626"/>
          <w:szCs w:val="21"/>
        </w:rPr>
        <w:t>2.竞得人有矿产资源违法行为的行政处罚逾期不履行的；</w:t>
      </w:r>
    </w:p>
    <w:p w14:paraId="76D9FE9B">
      <w:pPr>
        <w:spacing w:line="360" w:lineRule="exact"/>
        <w:ind w:firstLine="428" w:firstLineChars="204"/>
        <w:rPr>
          <w:rFonts w:eastAsia="方正仿宋_GBK"/>
          <w:color w:val="262626"/>
          <w:szCs w:val="21"/>
        </w:rPr>
      </w:pPr>
      <w:r>
        <w:rPr>
          <w:rFonts w:eastAsia="方正仿宋_GBK"/>
          <w:color w:val="262626"/>
          <w:szCs w:val="21"/>
        </w:rPr>
        <w:t>3.因不可抗力或者政策变化应当中止交易的其他情形。</w:t>
      </w:r>
    </w:p>
    <w:p w14:paraId="1ABDDC17">
      <w:pPr>
        <w:spacing w:line="360" w:lineRule="exact"/>
        <w:ind w:firstLine="428" w:firstLineChars="204"/>
        <w:rPr>
          <w:rFonts w:eastAsia="方正仿宋_GBK"/>
          <w:color w:val="262626"/>
          <w:szCs w:val="21"/>
        </w:rPr>
      </w:pPr>
      <w:r>
        <w:rPr>
          <w:rFonts w:eastAsia="方正仿宋_GBK"/>
          <w:color w:val="262626"/>
          <w:szCs w:val="21"/>
        </w:rPr>
        <w:t>（二）有下列情形之一的，市公共资源交易中心将发布终止网上交易公告，并终止网上交易活动：</w:t>
      </w:r>
    </w:p>
    <w:p w14:paraId="23054F1E">
      <w:pPr>
        <w:spacing w:line="360" w:lineRule="exact"/>
        <w:ind w:firstLine="428" w:firstLineChars="204"/>
        <w:rPr>
          <w:rFonts w:eastAsia="方正仿宋_GBK"/>
          <w:color w:val="262626"/>
          <w:szCs w:val="21"/>
        </w:rPr>
      </w:pPr>
      <w:r>
        <w:rPr>
          <w:rFonts w:eastAsia="方正仿宋_GBK"/>
          <w:color w:val="262626"/>
          <w:szCs w:val="21"/>
        </w:rPr>
        <w:t>1.出让人因有关政策规定、矿业权出让所依据的客观情况等发生重大变化提出终止交易的；</w:t>
      </w:r>
    </w:p>
    <w:p w14:paraId="4FC0940F">
      <w:pPr>
        <w:spacing w:line="360" w:lineRule="exact"/>
        <w:ind w:firstLine="428" w:firstLineChars="204"/>
        <w:rPr>
          <w:rFonts w:eastAsia="方正仿宋_GBK"/>
          <w:color w:val="262626"/>
          <w:szCs w:val="21"/>
        </w:rPr>
      </w:pPr>
      <w:r>
        <w:rPr>
          <w:rFonts w:eastAsia="方正仿宋_GBK"/>
          <w:color w:val="262626"/>
          <w:szCs w:val="21"/>
        </w:rPr>
        <w:t>2.因不可抗力应当终止交易的；</w:t>
      </w:r>
    </w:p>
    <w:p w14:paraId="39D1BC44">
      <w:pPr>
        <w:spacing w:line="360" w:lineRule="exact"/>
        <w:ind w:firstLine="428" w:firstLineChars="204"/>
        <w:rPr>
          <w:rFonts w:eastAsia="方正仿宋_GBK"/>
          <w:color w:val="262626"/>
          <w:szCs w:val="21"/>
        </w:rPr>
      </w:pPr>
      <w:r>
        <w:rPr>
          <w:rFonts w:eastAsia="方正仿宋_GBK"/>
          <w:color w:val="262626"/>
          <w:szCs w:val="21"/>
        </w:rPr>
        <w:t>3.法律法规规定的其他情形。</w:t>
      </w:r>
    </w:p>
    <w:p w14:paraId="627F7A4B">
      <w:pPr>
        <w:spacing w:line="360" w:lineRule="exact"/>
        <w:ind w:firstLine="428" w:firstLineChars="204"/>
        <w:rPr>
          <w:rFonts w:eastAsia="方正仿宋_GBK"/>
          <w:color w:val="262626"/>
          <w:szCs w:val="21"/>
        </w:rPr>
      </w:pPr>
      <w:r>
        <w:rPr>
          <w:rFonts w:eastAsia="方正仿宋_GBK"/>
          <w:color w:val="262626"/>
          <w:szCs w:val="21"/>
        </w:rPr>
        <w:t>（三）依法应当中止或者终止网上交易活动的其他情形：</w:t>
      </w:r>
    </w:p>
    <w:p w14:paraId="69DF1E13">
      <w:pPr>
        <w:spacing w:line="360" w:lineRule="exact"/>
        <w:ind w:firstLine="428" w:firstLineChars="204"/>
        <w:rPr>
          <w:rFonts w:eastAsia="方正仿宋_GBK"/>
          <w:color w:val="262626"/>
          <w:szCs w:val="21"/>
        </w:rPr>
      </w:pPr>
      <w:r>
        <w:rPr>
          <w:rFonts w:eastAsia="方正仿宋_GBK"/>
          <w:color w:val="262626"/>
          <w:szCs w:val="21"/>
        </w:rPr>
        <w:t>1.司法机关、监察机关依法要求中止或者终止网上交易活动的；</w:t>
      </w:r>
    </w:p>
    <w:p w14:paraId="5E5EA0B7">
      <w:pPr>
        <w:spacing w:line="360" w:lineRule="exact"/>
        <w:ind w:firstLine="428" w:firstLineChars="204"/>
        <w:rPr>
          <w:rFonts w:eastAsia="方正仿宋_GBK"/>
          <w:color w:val="262626"/>
          <w:szCs w:val="21"/>
        </w:rPr>
      </w:pPr>
      <w:r>
        <w:rPr>
          <w:rFonts w:eastAsia="方正仿宋_GBK"/>
          <w:color w:val="262626"/>
          <w:szCs w:val="21"/>
        </w:rPr>
        <w:t>2.网上交易系统软、硬件故障，网上交易系统网络专线故障，网上交易CA认证系统故障，银行保证金交纳系统故障等，导致网上交易系统不能正常运行的；</w:t>
      </w:r>
    </w:p>
    <w:p w14:paraId="396042C7">
      <w:pPr>
        <w:spacing w:line="360" w:lineRule="exact"/>
        <w:ind w:firstLine="428" w:firstLineChars="204"/>
        <w:rPr>
          <w:rFonts w:eastAsia="方正仿宋_GBK"/>
          <w:color w:val="262626"/>
          <w:szCs w:val="21"/>
        </w:rPr>
      </w:pPr>
      <w:r>
        <w:rPr>
          <w:rFonts w:eastAsia="方正仿宋_GBK"/>
          <w:color w:val="262626"/>
          <w:szCs w:val="21"/>
        </w:rPr>
        <w:t>3.因网络入侵等非可控因素，导致网上交易系统不能正常运行的。</w:t>
      </w:r>
    </w:p>
    <w:p w14:paraId="710978BF">
      <w:pPr>
        <w:spacing w:line="360" w:lineRule="exact"/>
        <w:ind w:firstLine="428" w:firstLineChars="204"/>
        <w:rPr>
          <w:rFonts w:eastAsia="方正仿宋_GBK"/>
          <w:color w:val="262626"/>
          <w:szCs w:val="21"/>
        </w:rPr>
      </w:pPr>
      <w:r>
        <w:rPr>
          <w:rFonts w:eastAsia="方正仿宋_GBK"/>
          <w:color w:val="262626"/>
          <w:szCs w:val="21"/>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14:paraId="5AA5FC21">
      <w:pPr>
        <w:spacing w:line="360" w:lineRule="exact"/>
        <w:ind w:firstLine="428" w:firstLineChars="204"/>
        <w:rPr>
          <w:rFonts w:ascii="方正黑体_GBK" w:hAnsi="方正黑体_GBK" w:eastAsia="方正黑体_GBK" w:cs="方正黑体_GBK"/>
          <w:color w:val="262626"/>
          <w:szCs w:val="21"/>
        </w:rPr>
      </w:pPr>
      <w:r>
        <w:rPr>
          <w:rFonts w:ascii="方正黑体_GBK" w:hAnsi="方正黑体_GBK" w:eastAsia="方正黑体_GBK" w:cs="方正黑体_GBK"/>
          <w:color w:val="262626"/>
          <w:szCs w:val="21"/>
        </w:rPr>
        <w:t>十二、其他重要提示</w:t>
      </w:r>
    </w:p>
    <w:p w14:paraId="04CDDC2C">
      <w:pPr>
        <w:spacing w:line="360" w:lineRule="exact"/>
        <w:ind w:firstLine="420" w:firstLineChars="200"/>
        <w:rPr>
          <w:rFonts w:eastAsia="方正仿宋_GBK"/>
          <w:color w:val="262626"/>
          <w:szCs w:val="21"/>
        </w:rPr>
      </w:pPr>
      <w:r>
        <w:rPr>
          <w:rFonts w:hint="eastAsia" w:eastAsia="方正仿宋_GBK"/>
          <w:color w:val="262626"/>
          <w:szCs w:val="21"/>
        </w:rPr>
        <w:t>（一）竞得人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等相关义务；严格按照绿色矿山标准建设运行，正式投产后2年内通过绿色矿山评估核查。</w:t>
      </w:r>
    </w:p>
    <w:p w14:paraId="13335FB1">
      <w:pPr>
        <w:spacing w:line="360" w:lineRule="exact"/>
        <w:ind w:firstLine="420" w:firstLineChars="200"/>
        <w:rPr>
          <w:rFonts w:eastAsia="方正仿宋_GBK"/>
          <w:color w:val="262626"/>
          <w:szCs w:val="21"/>
        </w:rPr>
      </w:pPr>
      <w:r>
        <w:rPr>
          <w:rFonts w:hint="eastAsia" w:eastAsia="方正仿宋_GBK"/>
          <w:color w:val="262626"/>
          <w:szCs w:val="21"/>
        </w:rPr>
        <w:t>（二）竞得人须自行或委托编制《矿区生态修复方案》，按照经批准的《矿区生态修复方案》编制矿区生态修复年度计划，设立矿区生态修复费用专用银行账户，足额提取矿区生态修复费用，按照“边开采、边修复”要求开展修复，在矿山闭坑前或者闭坑后的合理期限内完成全部损毁区域修复并通过验收。</w:t>
      </w:r>
    </w:p>
    <w:p w14:paraId="3CF1FC90">
      <w:pPr>
        <w:spacing w:line="360" w:lineRule="exact"/>
        <w:ind w:firstLine="420" w:firstLineChars="200"/>
        <w:rPr>
          <w:rFonts w:eastAsia="方正仿宋_GBK"/>
          <w:color w:val="262626"/>
          <w:szCs w:val="21"/>
        </w:rPr>
      </w:pPr>
      <w:r>
        <w:rPr>
          <w:rFonts w:eastAsia="方正仿宋_GBK"/>
          <w:color w:val="262626"/>
          <w:szCs w:val="21"/>
        </w:rPr>
        <w:t>（三）拟出让采矿权在开采、生产过程中，</w:t>
      </w:r>
      <w:r>
        <w:rPr>
          <w:rFonts w:hint="eastAsia" w:eastAsia="方正仿宋_GBK"/>
          <w:color w:val="262626"/>
          <w:szCs w:val="21"/>
        </w:rPr>
        <w:t>如</w:t>
      </w:r>
      <w:r>
        <w:rPr>
          <w:rFonts w:eastAsia="方正仿宋_GBK"/>
          <w:color w:val="262626"/>
          <w:szCs w:val="21"/>
        </w:rPr>
        <w:t>需使用相邻矿业权的道路、设施设备、生产巷道等，竞得人需与相邻矿业权权属人就相关使用事宜进行协商。</w:t>
      </w:r>
    </w:p>
    <w:p w14:paraId="64484BB9">
      <w:pPr>
        <w:spacing w:line="360" w:lineRule="exact"/>
        <w:ind w:firstLine="420" w:firstLineChars="200"/>
        <w:rPr>
          <w:rFonts w:eastAsia="方正仿宋_GBK"/>
          <w:color w:val="262626"/>
          <w:szCs w:val="21"/>
        </w:rPr>
      </w:pPr>
      <w:r>
        <w:rPr>
          <w:rFonts w:eastAsia="方正仿宋_GBK"/>
          <w:color w:val="262626"/>
          <w:szCs w:val="21"/>
        </w:rPr>
        <w:t>（四）</w:t>
      </w:r>
      <w:r>
        <w:rPr>
          <w:rFonts w:hint="eastAsia" w:eastAsia="方正仿宋_GBK"/>
          <w:color w:val="262626"/>
          <w:szCs w:val="21"/>
        </w:rPr>
        <w:t>竞买申请人须认真详读出让文件，现场踏勘并详细了解出让范围及周边土地、山权、林权、道路、地下管线、水电供给、废渣占地堆放、地表附着物、社群关系等影响资源开采的外部条件以及使用井口、开采设施所处宗地及其房屋租赁等其他权益补偿情况，并自愿接受现状情况。竞得人需自行办理林地、安全施工、环境保护、水土保持、矿区生态修复方案批复、租赁等其它手续。（重庆市江北区规划和自然资源局联系人：陈老师，联系电话：023-67857139）。</w:t>
      </w:r>
    </w:p>
    <w:p w14:paraId="7DE1F734">
      <w:pPr>
        <w:spacing w:line="360" w:lineRule="exact"/>
        <w:ind w:firstLine="420" w:firstLineChars="200"/>
        <w:rPr>
          <w:rFonts w:eastAsia="方正仿宋_GBK"/>
          <w:color w:val="000000"/>
          <w:szCs w:val="21"/>
        </w:rPr>
      </w:pPr>
      <w:r>
        <w:rPr>
          <w:rFonts w:eastAsia="方正仿宋_GBK"/>
          <w:color w:val="262626"/>
          <w:szCs w:val="21"/>
        </w:rPr>
        <w:t>（五）提交竞买申请即视为竞买人对拟出让采矿权现状、出让文件、采矿权出让合同、政策要求等内容已完全认可并自愿承担所有风险。</w:t>
      </w:r>
    </w:p>
    <w:p w14:paraId="4A19B6F4">
      <w:pPr>
        <w:spacing w:line="360" w:lineRule="exact"/>
        <w:ind w:firstLine="428" w:firstLineChars="204"/>
        <w:rPr>
          <w:rFonts w:eastAsia="方正仿宋_GBK"/>
          <w:color w:val="262626"/>
          <w:szCs w:val="21"/>
        </w:rPr>
      </w:pPr>
      <w:r>
        <w:rPr>
          <w:rFonts w:hint="eastAsia" w:eastAsia="方正仿宋_GBK"/>
          <w:color w:val="000000"/>
          <w:szCs w:val="21"/>
        </w:rPr>
        <w:t>（六）竞得人在签收《成交确认书》之日起5个工作日内需另行支付交易服务费0.00054万元（暂定，以最终成交价测算为准）。收费标准按《重庆市发展和改革委员会关于矿业权和加工贸易废料交易服务收费有关事项的通知》（渝发改收费〔2025〕421号）执行。</w:t>
      </w:r>
    </w:p>
    <w:p w14:paraId="154BBFD2">
      <w:pPr>
        <w:spacing w:line="360" w:lineRule="exact"/>
        <w:ind w:firstLine="428" w:firstLineChars="204"/>
        <w:rPr>
          <w:rFonts w:eastAsia="方正仿宋_GBK"/>
          <w:color w:val="262626"/>
          <w:szCs w:val="21"/>
        </w:rPr>
      </w:pPr>
    </w:p>
    <w:p w14:paraId="641C8EB7">
      <w:pPr>
        <w:spacing w:line="360" w:lineRule="exact"/>
        <w:ind w:firstLine="420" w:firstLineChars="200"/>
        <w:rPr>
          <w:rFonts w:eastAsia="方正仿宋_GBK"/>
          <w:color w:val="000000"/>
          <w:szCs w:val="21"/>
        </w:rPr>
      </w:pPr>
      <w:r>
        <w:rPr>
          <w:rFonts w:eastAsia="方正仿宋_GBK"/>
          <w:color w:val="000000"/>
          <w:szCs w:val="21"/>
        </w:rPr>
        <w:t>附件：</w:t>
      </w:r>
      <w:r>
        <w:rPr>
          <w:rFonts w:hint="eastAsia" w:eastAsia="方正仿宋_GBK"/>
          <w:color w:val="000000"/>
          <w:szCs w:val="21"/>
        </w:rPr>
        <w:t>1.</w:t>
      </w:r>
      <w:r>
        <w:rPr>
          <w:rFonts w:eastAsia="方正仿宋_GBK"/>
          <w:color w:val="000000"/>
          <w:szCs w:val="21"/>
        </w:rPr>
        <w:t>《竞买申请书》</w:t>
      </w:r>
    </w:p>
    <w:p w14:paraId="22D251F8">
      <w:pPr>
        <w:spacing w:line="360" w:lineRule="exact"/>
        <w:ind w:firstLine="1050" w:firstLineChars="500"/>
        <w:rPr>
          <w:rFonts w:eastAsia="方正仿宋_GBK"/>
          <w:color w:val="000000"/>
          <w:szCs w:val="21"/>
        </w:rPr>
      </w:pPr>
      <w:r>
        <w:rPr>
          <w:rFonts w:hint="eastAsia" w:eastAsia="方正仿宋_GBK"/>
          <w:color w:val="000000"/>
          <w:szCs w:val="21"/>
        </w:rPr>
        <w:t>2.</w:t>
      </w:r>
      <w:r>
        <w:rPr>
          <w:rFonts w:eastAsia="方正仿宋_GBK"/>
          <w:color w:val="000000"/>
          <w:szCs w:val="21"/>
        </w:rPr>
        <w:t>《授权委托书》</w:t>
      </w:r>
    </w:p>
    <w:p w14:paraId="75A227B5">
      <w:pPr>
        <w:spacing w:line="360" w:lineRule="exact"/>
        <w:ind w:firstLine="1050" w:firstLineChars="500"/>
        <w:rPr>
          <w:rFonts w:eastAsia="方正仿宋_GBK"/>
          <w:color w:val="000000"/>
          <w:szCs w:val="21"/>
        </w:rPr>
      </w:pPr>
      <w:r>
        <w:rPr>
          <w:rFonts w:hint="eastAsia" w:eastAsia="方正仿宋_GBK"/>
          <w:color w:val="000000"/>
          <w:szCs w:val="21"/>
        </w:rPr>
        <w:t>3.</w:t>
      </w:r>
      <w:r>
        <w:rPr>
          <w:rFonts w:eastAsia="方正仿宋_GBK"/>
          <w:color w:val="000000"/>
          <w:szCs w:val="21"/>
        </w:rPr>
        <w:t>重庆市采矿权出让合同（模板）</w:t>
      </w:r>
    </w:p>
    <w:p w14:paraId="1A7A5B10">
      <w:pPr>
        <w:spacing w:line="360" w:lineRule="exact"/>
        <w:ind w:firstLine="1050" w:firstLineChars="500"/>
        <w:rPr>
          <w:rFonts w:eastAsia="方正仿宋_GBK"/>
          <w:color w:val="000000"/>
          <w:szCs w:val="21"/>
        </w:rPr>
      </w:pPr>
      <w:r>
        <w:rPr>
          <w:rFonts w:hint="eastAsia" w:eastAsia="方正仿宋_GBK"/>
          <w:color w:val="000000"/>
          <w:szCs w:val="21"/>
        </w:rPr>
        <w:t>4.</w:t>
      </w:r>
      <w:r>
        <w:rPr>
          <w:rFonts w:eastAsia="方正仿宋_GBK"/>
          <w:color w:val="000000"/>
          <w:szCs w:val="21"/>
        </w:rPr>
        <w:t>《成交确认书》</w:t>
      </w:r>
    </w:p>
    <w:p w14:paraId="23D74C16">
      <w:pPr>
        <w:spacing w:line="360" w:lineRule="exact"/>
        <w:ind w:firstLine="420" w:firstLineChars="200"/>
        <w:jc w:val="right"/>
        <w:rPr>
          <w:color w:val="000000"/>
          <w:szCs w:val="21"/>
        </w:rPr>
      </w:pPr>
    </w:p>
    <w:p w14:paraId="57DD3FC5">
      <w:pPr>
        <w:spacing w:line="360" w:lineRule="exact"/>
        <w:ind w:firstLine="420" w:firstLineChars="200"/>
        <w:jc w:val="right"/>
        <w:rPr>
          <w:rFonts w:eastAsia="方正仿宋_GBK" w:cs="方正仿宋_GBK"/>
          <w:color w:val="000000"/>
          <w:szCs w:val="21"/>
        </w:rPr>
      </w:pPr>
      <w:r>
        <w:rPr>
          <w:rFonts w:hint="eastAsia" w:eastAsia="方正仿宋_GBK" w:cs="方正仿宋_GBK"/>
          <w:color w:val="000000"/>
          <w:szCs w:val="21"/>
        </w:rPr>
        <w:t>2025年10月30日</w:t>
      </w:r>
    </w:p>
    <w:p w14:paraId="6435587D">
      <w:pPr>
        <w:spacing w:line="360" w:lineRule="exact"/>
        <w:rPr>
          <w:color w:val="000000"/>
          <w:szCs w:val="21"/>
        </w:rPr>
      </w:pPr>
    </w:p>
    <w:tbl>
      <w:tblPr>
        <w:tblStyle w:val="7"/>
        <w:tblpPr w:leftFromText="180" w:rightFromText="180" w:vertAnchor="text" w:horzAnchor="page" w:tblpXSpec="center" w:tblpY="55"/>
        <w:tblOverlap w:val="never"/>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14:paraId="3F6E7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exact"/>
          <w:jc w:val="center"/>
        </w:trPr>
        <w:tc>
          <w:tcPr>
            <w:tcW w:w="8359" w:type="dxa"/>
          </w:tcPr>
          <w:p w14:paraId="2CA54A1A">
            <w:pPr>
              <w:spacing w:line="360" w:lineRule="exact"/>
              <w:rPr>
                <w:rFonts w:eastAsia="方正仿宋_GBK"/>
                <w:color w:val="000000"/>
                <w:szCs w:val="21"/>
              </w:rPr>
            </w:pPr>
            <w:r>
              <w:rPr>
                <w:rFonts w:eastAsia="方正仿宋_GBK"/>
                <w:color w:val="000000"/>
                <w:szCs w:val="21"/>
              </w:rPr>
              <w:t>竞买申请人声明：</w:t>
            </w:r>
            <w:r>
              <w:rPr>
                <w:rFonts w:eastAsia="方正仿宋_GBK"/>
                <w:i/>
                <w:color w:val="000000"/>
                <w:szCs w:val="21"/>
                <w:u w:val="single"/>
              </w:rPr>
              <w:t>（填写已自行踏勘、知晓、自愿等声明）</w:t>
            </w:r>
          </w:p>
          <w:p w14:paraId="59DCFE3B">
            <w:pPr>
              <w:spacing w:line="360" w:lineRule="exact"/>
              <w:rPr>
                <w:rFonts w:eastAsia="方正仿宋_GBK"/>
                <w:color w:val="000000"/>
                <w:szCs w:val="21"/>
                <w:u w:val="single"/>
              </w:rPr>
            </w:pPr>
          </w:p>
          <w:p w14:paraId="5BDE6B35">
            <w:pPr>
              <w:spacing w:line="360" w:lineRule="exact"/>
              <w:rPr>
                <w:rFonts w:eastAsia="方正仿宋_GBK"/>
                <w:color w:val="000000"/>
                <w:szCs w:val="21"/>
                <w:u w:val="single"/>
              </w:rPr>
            </w:pPr>
          </w:p>
          <w:p w14:paraId="6B25C111">
            <w:pPr>
              <w:spacing w:line="360" w:lineRule="exact"/>
              <w:rPr>
                <w:rFonts w:eastAsia="方正仿宋_GBK"/>
                <w:color w:val="000000"/>
                <w:szCs w:val="21"/>
                <w:u w:val="single"/>
              </w:rPr>
            </w:pPr>
          </w:p>
          <w:p w14:paraId="494D5C6E">
            <w:pPr>
              <w:spacing w:line="360" w:lineRule="exact"/>
              <w:rPr>
                <w:rFonts w:eastAsia="方正仿宋_GBK"/>
                <w:color w:val="000000"/>
                <w:szCs w:val="21"/>
              </w:rPr>
            </w:pPr>
            <w:r>
              <w:rPr>
                <w:rFonts w:eastAsia="方正仿宋_GBK"/>
                <w:color w:val="000000"/>
                <w:szCs w:val="21"/>
              </w:rPr>
              <w:t>竞买申请人（盖章）：</w:t>
            </w:r>
          </w:p>
          <w:p w14:paraId="15F882B5">
            <w:pPr>
              <w:spacing w:line="360" w:lineRule="exact"/>
              <w:rPr>
                <w:rFonts w:eastAsia="方正仿宋_GBK"/>
                <w:color w:val="000000"/>
                <w:szCs w:val="21"/>
              </w:rPr>
            </w:pPr>
            <w:r>
              <w:rPr>
                <w:rFonts w:eastAsia="方正仿宋_GBK"/>
                <w:color w:val="000000"/>
                <w:szCs w:val="21"/>
              </w:rPr>
              <w:t>法人代表或授权代理人（签名）：</w:t>
            </w:r>
          </w:p>
          <w:p w14:paraId="0EE44FD0">
            <w:pPr>
              <w:spacing w:line="360" w:lineRule="exact"/>
              <w:rPr>
                <w:rFonts w:eastAsia="方正仿宋_GBK"/>
                <w:color w:val="000000"/>
                <w:szCs w:val="21"/>
              </w:rPr>
            </w:pPr>
          </w:p>
          <w:p w14:paraId="621AE616">
            <w:pPr>
              <w:wordWrap w:val="0"/>
              <w:spacing w:line="360" w:lineRule="exact"/>
              <w:ind w:right="525" w:rightChars="250"/>
              <w:jc w:val="right"/>
              <w:rPr>
                <w:color w:val="000000"/>
                <w:szCs w:val="21"/>
              </w:rPr>
            </w:pPr>
            <w:r>
              <w:rPr>
                <w:rFonts w:eastAsia="方正仿宋_GBK"/>
                <w:color w:val="000000"/>
                <w:szCs w:val="21"/>
              </w:rPr>
              <w:t>年</w:t>
            </w:r>
            <w:r>
              <w:rPr>
                <w:rFonts w:hint="eastAsia" w:eastAsia="方正仿宋_GBK"/>
                <w:color w:val="000000"/>
                <w:szCs w:val="21"/>
              </w:rPr>
              <w:t xml:space="preserve">  </w:t>
            </w:r>
            <w:r>
              <w:rPr>
                <w:rFonts w:eastAsia="方正仿宋_GBK"/>
                <w:color w:val="000000"/>
                <w:szCs w:val="21"/>
              </w:rPr>
              <w:t>月</w:t>
            </w:r>
            <w:r>
              <w:rPr>
                <w:rFonts w:hint="eastAsia" w:eastAsia="方正仿宋_GBK"/>
                <w:color w:val="000000"/>
                <w:szCs w:val="21"/>
              </w:rPr>
              <w:t xml:space="preserve">  </w:t>
            </w:r>
            <w:r>
              <w:rPr>
                <w:rFonts w:eastAsia="方正仿宋_GBK"/>
                <w:color w:val="000000"/>
                <w:szCs w:val="21"/>
              </w:rPr>
              <w:t>日</w:t>
            </w:r>
          </w:p>
        </w:tc>
      </w:tr>
    </w:tbl>
    <w:p w14:paraId="7139B582">
      <w:pPr>
        <w:pStyle w:val="9"/>
        <w:ind w:firstLine="640"/>
        <w:rPr>
          <w:rFonts w:ascii="Times New Roman" w:cs="Times New Roman"/>
          <w:color w:val="auto"/>
          <w:sz w:val="32"/>
          <w:szCs w:val="32"/>
        </w:rPr>
      </w:pPr>
    </w:p>
    <w:p w14:paraId="0E33902F"/>
    <w:sectPr>
      <w:footerReference r:id="rId3" w:type="default"/>
      <w:pgSz w:w="11906" w:h="16838"/>
      <w:pgMar w:top="1985" w:right="1797" w:bottom="1985" w:left="179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F2C69">
    <w:pPr>
      <w:pStyle w:val="5"/>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6818C88">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821D4"/>
    <w:rsid w:val="000821D4"/>
    <w:rsid w:val="00160D31"/>
    <w:rsid w:val="00163E47"/>
    <w:rsid w:val="0019101A"/>
    <w:rsid w:val="00197CD6"/>
    <w:rsid w:val="00323AD8"/>
    <w:rsid w:val="004A48F7"/>
    <w:rsid w:val="005B3C86"/>
    <w:rsid w:val="0063660F"/>
    <w:rsid w:val="006C0406"/>
    <w:rsid w:val="007133B5"/>
    <w:rsid w:val="0084607D"/>
    <w:rsid w:val="00AA1064"/>
    <w:rsid w:val="00AD2B2C"/>
    <w:rsid w:val="00C66219"/>
    <w:rsid w:val="00D127C2"/>
    <w:rsid w:val="00D546D7"/>
    <w:rsid w:val="00E85CE5"/>
    <w:rsid w:val="00F24DE9"/>
    <w:rsid w:val="00FD1896"/>
    <w:rsid w:val="26E06A47"/>
    <w:rsid w:val="5DEA75B0"/>
    <w:rsid w:val="69451A78"/>
    <w:rsid w:val="74AC4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unhideWhenUsed/>
    <w:uiPriority w:val="99"/>
    <w:pPr>
      <w:spacing w:after="120"/>
    </w:pPr>
  </w:style>
  <w:style w:type="paragraph" w:styleId="3">
    <w:name w:val="Normal Indent"/>
    <w:basedOn w:val="1"/>
    <w:qFormat/>
    <w:uiPriority w:val="0"/>
    <w:pPr>
      <w:spacing w:line="520" w:lineRule="atLeast"/>
      <w:ind w:firstLine="510"/>
    </w:pPr>
    <w:rPr>
      <w:sz w:val="28"/>
    </w:rPr>
  </w:style>
  <w:style w:type="paragraph" w:styleId="4">
    <w:name w:val="Balloon Text"/>
    <w:basedOn w:val="1"/>
    <w:link w:val="13"/>
    <w:unhideWhenUsed/>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Default"/>
    <w:qFormat/>
    <w:uiPriority w:val="99"/>
    <w:pPr>
      <w:widowControl w:val="0"/>
      <w:autoSpaceDE w:val="0"/>
      <w:autoSpaceDN w:val="0"/>
      <w:adjustRightInd w:val="0"/>
    </w:pPr>
    <w:rPr>
      <w:rFonts w:ascii="方正黑体_GBK" w:hAnsi="Calibri" w:eastAsia="方正黑体_GBK" w:cs="方正黑体_GBK"/>
      <w:color w:val="000000"/>
      <w:sz w:val="24"/>
      <w:szCs w:val="24"/>
      <w:lang w:val="en-US" w:eastAsia="zh-CN" w:bidi="ar-SA"/>
    </w:rPr>
  </w:style>
  <w:style w:type="character" w:customStyle="1" w:styleId="10">
    <w:name w:val="正文文本 Char"/>
    <w:basedOn w:val="8"/>
    <w:link w:val="2"/>
    <w:semiHidden/>
    <w:uiPriority w:val="99"/>
    <w:rPr>
      <w:rFonts w:ascii="Times New Roman" w:hAnsi="Times New Roman" w:eastAsia="宋体" w:cs="Times New Roman"/>
    </w:rPr>
  </w:style>
  <w:style w:type="character" w:customStyle="1" w:styleId="11">
    <w:name w:val="页眉 Char"/>
    <w:basedOn w:val="8"/>
    <w:link w:val="6"/>
    <w:semiHidden/>
    <w:uiPriority w:val="99"/>
    <w:rPr>
      <w:rFonts w:ascii="Times New Roman" w:hAnsi="Times New Roman" w:eastAsia="宋体" w:cs="Times New Roman"/>
      <w:sz w:val="18"/>
      <w:szCs w:val="18"/>
    </w:rPr>
  </w:style>
  <w:style w:type="character" w:customStyle="1" w:styleId="12">
    <w:name w:val="页脚 Char"/>
    <w:basedOn w:val="8"/>
    <w:link w:val="5"/>
    <w:semiHidden/>
    <w:uiPriority w:val="99"/>
    <w:rPr>
      <w:rFonts w:ascii="Times New Roman" w:hAnsi="Times New Roman" w:eastAsia="宋体" w:cs="Times New Roman"/>
      <w:sz w:val="18"/>
      <w:szCs w:val="18"/>
    </w:rPr>
  </w:style>
  <w:style w:type="character" w:customStyle="1" w:styleId="13">
    <w:name w:val="批注框文本 Char"/>
    <w:basedOn w:val="8"/>
    <w:link w:val="4"/>
    <w:semiHidden/>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5871</Words>
  <Characters>6261</Characters>
  <Lines>45</Lines>
  <Paragraphs>12</Paragraphs>
  <TotalTime>1</TotalTime>
  <ScaleCrop>false</ScaleCrop>
  <LinksUpToDate>false</LinksUpToDate>
  <CharactersWithSpaces>6266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2025-10-15T02:33:00Z</dcterms:created>
  <dc:creator>Windows User</dc:creator>
  <cp:lastModifiedBy>！</cp:lastModifiedBy>
  <dcterms:modified xsi:type="dcterms:W3CDTF">2025-10-29T02:01:28Z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eyJoZGlkIjoiMDBkNzVkNTQ2ZDBmNDgzNmVlYTU5MDkxZmUwYjcyYTIiLCJ1c2VySWQiOiIyODUwOTIyNjcifQ==</vt:lpwstr>
  </property>
  <property fmtid="{D5CDD505-2E9C-101B-9397-08002B2CF9AE}" pid="3" name="KSOProductBuildVer">
    <vt:lpwstr>2052-12.1.0.23125</vt:lpwstr>
  </property>
  <property fmtid="{D5CDD505-2E9C-101B-9397-08002B2CF9AE}" pid="4" name="ICV">
    <vt:lpwstr>AC838706487C44899A1BA721ED7DB31B_12</vt:lpwstr>
  </property>
</Properties>
</file>