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方正仿宋_GBK" w:cs="Times New Roman"/>
          <w:sz w:val="32"/>
          <w:szCs w:val="32"/>
        </w:rPr>
      </w:pPr>
    </w:p>
    <w:p>
      <w:pPr>
        <w:pageBreakBefore w:val="0"/>
        <w:widowControl/>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方正仿宋_GBK" w:cs="Times New Roman"/>
          <w:sz w:val="32"/>
          <w:szCs w:val="32"/>
        </w:rPr>
      </w:pPr>
    </w:p>
    <w:p>
      <w:pPr>
        <w:pageBreakBefore w:val="0"/>
        <w:widowControl/>
        <w:kinsoku/>
        <w:wordWrap/>
        <w:overflowPunct/>
        <w:topLinePunct w:val="0"/>
        <w:autoSpaceDE/>
        <w:autoSpaceDN/>
        <w:bidi w:val="0"/>
        <w:adjustRightInd w:val="0"/>
        <w:snapToGrid w:val="0"/>
        <w:spacing w:line="580" w:lineRule="exact"/>
        <w:ind w:firstLine="880" w:firstLineChars="200"/>
        <w:jc w:val="left"/>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重庆市规划和自然资源局关于印发</w:t>
      </w:r>
    </w:p>
    <w:p>
      <w:pPr>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spacing w:val="-6"/>
          <w:sz w:val="44"/>
          <w:szCs w:val="44"/>
        </w:rPr>
      </w:pPr>
      <w:r>
        <w:rPr>
          <w:rFonts w:hint="default" w:ascii="Times New Roman" w:hAnsi="Times New Roman" w:eastAsia="方正小标宋_GBK" w:cs="Times New Roman"/>
          <w:spacing w:val="-6"/>
          <w:sz w:val="44"/>
          <w:szCs w:val="44"/>
        </w:rPr>
        <w:t>重庆市矿业权出让基准价（2020年版）的</w:t>
      </w:r>
    </w:p>
    <w:p>
      <w:pPr>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spacing w:val="-6"/>
          <w:sz w:val="44"/>
          <w:szCs w:val="44"/>
        </w:rPr>
      </w:pPr>
      <w:r>
        <w:rPr>
          <w:rFonts w:hint="default" w:ascii="Times New Roman" w:hAnsi="Times New Roman" w:eastAsia="方正小标宋_GBK" w:cs="Times New Roman"/>
          <w:spacing w:val="-6"/>
          <w:sz w:val="44"/>
          <w:szCs w:val="44"/>
        </w:rPr>
        <w:t>通知</w:t>
      </w:r>
    </w:p>
    <w:p>
      <w:pPr>
        <w:snapToGrid w:val="0"/>
        <w:spacing w:line="600" w:lineRule="exact"/>
        <w:ind w:firstLine="64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渝规资规范〔2020〕14号</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方正仿宋_GBK" w:cs="Times New Roman"/>
          <w:color w:val="000000"/>
          <w:szCs w:val="21"/>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各区县（自治县）规划自然资源局，局属有关单位，机关有关处室，有关单位：</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《重庆市矿业权出让基准价（2020年版）》已经市政府同意，现印发给你们，请遵照执行。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一、《重庆市矿业权出让基准价（2020年版）》自印发之日起施行。《关于印发重庆市矿业权出让基准价的通知》（渝规资规范〔2019〕31号）同时废止。</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二、《重庆市矿业权出让基准价（2020年版）》施行后，矿业权评估价值低于基准价的，以招标拍卖挂牌方式出让尚未成交的，以协议方式出让尚未签订合同的，应当重新开展评估确定起始价、成交价。</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方正仿宋_GBK" w:cs="Times New Roman"/>
          <w:snapToGrid w:val="0"/>
          <w:kern w:val="0"/>
          <w:szCs w:val="32"/>
        </w:rPr>
      </w:pPr>
    </w:p>
    <w:p>
      <w:pPr>
        <w:keepNext w:val="0"/>
        <w:keepLines w:val="0"/>
        <w:pageBreakBefore w:val="0"/>
        <w:widowControl w:val="0"/>
        <w:kinsoku/>
        <w:wordWrap/>
        <w:overflowPunct/>
        <w:topLinePunct w:val="0"/>
        <w:autoSpaceDE/>
        <w:autoSpaceDN/>
        <w:bidi w:val="0"/>
        <w:adjustRightInd/>
        <w:snapToGrid w:val="0"/>
        <w:spacing w:line="600" w:lineRule="exact"/>
        <w:ind w:right="615" w:rightChars="293"/>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重庆市规划和自然资源局</w:t>
      </w:r>
    </w:p>
    <w:p>
      <w:pPr>
        <w:adjustRightInd w:val="0"/>
        <w:snapToGrid w:val="0"/>
        <w:spacing w:line="580" w:lineRule="exact"/>
        <w:ind w:firstLine="4480" w:firstLineChars="1400"/>
        <w:rPr>
          <w:rFonts w:hint="default" w:ascii="Times New Roman" w:hAnsi="Times New Roman" w:eastAsia="方正仿宋_GBK" w:cs="Times New Roman"/>
          <w:sz w:val="32"/>
          <w:szCs w:val="32"/>
        </w:rPr>
      </w:pPr>
      <w:r>
        <w:rPr>
          <w:rFonts w:hint="default" w:ascii="Times New Roman" w:hAnsi="Times New Roman" w:eastAsia="方正仿宋_GBK" w:cs="Times New Roman"/>
          <w:snapToGrid w:val="0"/>
          <w:kern w:val="0"/>
          <w:sz w:val="32"/>
          <w:szCs w:val="32"/>
        </w:rPr>
        <w:t>2020年11月26日</w:t>
      </w:r>
    </w:p>
    <w:p>
      <w:pPr>
        <w:snapToGrid w:val="0"/>
        <w:spacing w:line="540" w:lineRule="exact"/>
        <w:jc w:val="center"/>
        <w:rPr>
          <w:rFonts w:hint="default" w:ascii="Times New Roman" w:hAnsi="Times New Roman" w:eastAsia="方正小标宋_GBK" w:cs="Times New Roman"/>
          <w:sz w:val="44"/>
          <w:szCs w:val="44"/>
        </w:rPr>
      </w:pPr>
    </w:p>
    <w:p>
      <w:pPr>
        <w:snapToGrid w:val="0"/>
        <w:spacing w:line="540" w:lineRule="exact"/>
        <w:jc w:val="center"/>
        <w:rPr>
          <w:rFonts w:hint="default" w:ascii="Times New Roman" w:hAnsi="Times New Roman" w:eastAsia="方正小标宋_GBK" w:cs="Times New Roman"/>
          <w:sz w:val="44"/>
          <w:szCs w:val="44"/>
        </w:rPr>
      </w:pPr>
    </w:p>
    <w:p>
      <w:pPr>
        <w:snapToGrid w:val="0"/>
        <w:spacing w:line="540" w:lineRule="exact"/>
        <w:jc w:val="center"/>
        <w:rPr>
          <w:rFonts w:hint="default" w:ascii="Times New Roman" w:hAnsi="Times New Roman" w:eastAsia="方正小标宋_GBK" w:cs="Times New Roman"/>
          <w:sz w:val="44"/>
          <w:szCs w:val="44"/>
        </w:rPr>
      </w:pPr>
      <w:bookmarkStart w:id="0" w:name="_GoBack"/>
      <w:bookmarkEnd w:id="0"/>
      <w:r>
        <w:rPr>
          <w:rFonts w:hint="default" w:ascii="Times New Roman" w:hAnsi="Times New Roman" w:eastAsia="方正小标宋_GBK" w:cs="Times New Roman"/>
          <w:sz w:val="44"/>
          <w:szCs w:val="44"/>
        </w:rPr>
        <w:t>重庆市矿业权出让基准价</w:t>
      </w:r>
    </w:p>
    <w:p>
      <w:pPr>
        <w:keepNext w:val="0"/>
        <w:keepLines w:val="0"/>
        <w:spacing w:before="0" w:after="0" w:line="600" w:lineRule="exact"/>
        <w:jc w:val="center"/>
        <w:rPr>
          <w:rFonts w:hint="default" w:ascii="Times New Roman" w:hAnsi="Times New Roman" w:eastAsia="方正黑体_GBK" w:cs="Times New Roman"/>
          <w:b/>
        </w:rPr>
      </w:pPr>
      <w:r>
        <w:rPr>
          <w:rFonts w:hint="default" w:ascii="Times New Roman" w:hAnsi="Times New Roman" w:eastAsia="方正仿宋_GBK" w:cs="Times New Roman"/>
          <w:kern w:val="0"/>
          <w:sz w:val="32"/>
          <w:szCs w:val="32"/>
        </w:rPr>
        <w:t>（2020年版）</w:t>
      </w:r>
    </w:p>
    <w:p>
      <w:pPr>
        <w:pStyle w:val="3"/>
        <w:keepNext w:val="0"/>
        <w:keepLines w:val="0"/>
        <w:widowControl/>
        <w:adjustRightInd w:val="0"/>
        <w:snapToGrid w:val="0"/>
        <w:spacing w:before="0" w:after="0" w:line="600" w:lineRule="exact"/>
        <w:jc w:val="left"/>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表1</w:t>
      </w:r>
    </w:p>
    <w:p>
      <w:pPr>
        <w:pStyle w:val="3"/>
        <w:keepNext w:val="0"/>
        <w:keepLines w:val="0"/>
        <w:spacing w:before="0" w:after="0" w:line="600" w:lineRule="exact"/>
        <w:jc w:val="center"/>
        <w:rPr>
          <w:rFonts w:hint="default" w:ascii="Times New Roman" w:hAnsi="Times New Roman" w:cs="Times New Roman"/>
        </w:rPr>
      </w:pPr>
      <w:r>
        <w:rPr>
          <w:rFonts w:hint="default" w:ascii="Times New Roman" w:hAnsi="Times New Roman" w:eastAsia="方正小标宋_GBK" w:cs="Times New Roman"/>
          <w:b w:val="0"/>
          <w:bCs w:val="0"/>
          <w:sz w:val="44"/>
          <w:szCs w:val="44"/>
        </w:rPr>
        <w:t>采矿权出让基准价</w:t>
      </w:r>
    </w:p>
    <w:p>
      <w:pPr>
        <w:rPr>
          <w:rFonts w:hint="default" w:ascii="Times New Roman" w:hAnsi="Times New Roman" w:cs="Times New Roman"/>
        </w:rPr>
      </w:pPr>
    </w:p>
    <w:tbl>
      <w:tblPr>
        <w:tblStyle w:val="11"/>
        <w:tblW w:w="90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041"/>
        <w:gridCol w:w="2414"/>
        <w:gridCol w:w="1896"/>
        <w:gridCol w:w="992"/>
        <w:gridCol w:w="955"/>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14" w:type="dxa"/>
            <w:vMerge w:val="restart"/>
            <w:vAlign w:val="center"/>
          </w:tcPr>
          <w:p>
            <w:pPr>
              <w:widowControl/>
              <w:adjustRightInd w:val="0"/>
              <w:snapToGrid w:val="0"/>
              <w:spacing w:line="4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序号</w:t>
            </w:r>
          </w:p>
        </w:tc>
        <w:tc>
          <w:tcPr>
            <w:tcW w:w="3455" w:type="dxa"/>
            <w:gridSpan w:val="2"/>
            <w:vMerge w:val="restart"/>
            <w:vAlign w:val="center"/>
          </w:tcPr>
          <w:p>
            <w:pPr>
              <w:widowControl/>
              <w:adjustRightInd w:val="0"/>
              <w:snapToGrid w:val="0"/>
              <w:spacing w:line="4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矿种</w:t>
            </w:r>
          </w:p>
        </w:tc>
        <w:tc>
          <w:tcPr>
            <w:tcW w:w="1896" w:type="dxa"/>
            <w:vMerge w:val="restart"/>
            <w:vAlign w:val="center"/>
          </w:tcPr>
          <w:p>
            <w:pPr>
              <w:widowControl/>
              <w:adjustRightInd w:val="0"/>
              <w:snapToGrid w:val="0"/>
              <w:spacing w:line="4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单位</w:t>
            </w:r>
          </w:p>
          <w:p>
            <w:pPr>
              <w:widowControl/>
              <w:adjustRightInd w:val="0"/>
              <w:snapToGrid w:val="0"/>
              <w:spacing w:line="4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（资源量）</w:t>
            </w:r>
          </w:p>
        </w:tc>
        <w:tc>
          <w:tcPr>
            <w:tcW w:w="2943" w:type="dxa"/>
            <w:gridSpan w:val="3"/>
            <w:vAlign w:val="center"/>
          </w:tcPr>
          <w:p>
            <w:pPr>
              <w:widowControl/>
              <w:adjustRightInd w:val="0"/>
              <w:snapToGrid w:val="0"/>
              <w:spacing w:line="4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单位基准价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14" w:type="dxa"/>
            <w:vMerge w:val="continue"/>
            <w:vAlign w:val="center"/>
          </w:tcPr>
          <w:p>
            <w:pPr>
              <w:widowControl/>
              <w:adjustRightInd w:val="0"/>
              <w:snapToGrid w:val="0"/>
              <w:spacing w:line="400" w:lineRule="exact"/>
              <w:jc w:val="center"/>
              <w:rPr>
                <w:rFonts w:hint="default" w:ascii="Times New Roman" w:hAnsi="Times New Roman" w:eastAsia="方正仿宋_GBK" w:cs="Times New Roman"/>
                <w:kern w:val="0"/>
                <w:szCs w:val="21"/>
              </w:rPr>
            </w:pPr>
          </w:p>
        </w:tc>
        <w:tc>
          <w:tcPr>
            <w:tcW w:w="3455" w:type="dxa"/>
            <w:gridSpan w:val="2"/>
            <w:vMerge w:val="continue"/>
            <w:vAlign w:val="center"/>
          </w:tcPr>
          <w:p>
            <w:pPr>
              <w:widowControl/>
              <w:adjustRightInd w:val="0"/>
              <w:snapToGrid w:val="0"/>
              <w:spacing w:line="400" w:lineRule="exact"/>
              <w:jc w:val="center"/>
              <w:rPr>
                <w:rFonts w:hint="default" w:ascii="Times New Roman" w:hAnsi="Times New Roman" w:eastAsia="方正仿宋_GBK" w:cs="Times New Roman"/>
                <w:kern w:val="0"/>
                <w:szCs w:val="21"/>
              </w:rPr>
            </w:pPr>
          </w:p>
        </w:tc>
        <w:tc>
          <w:tcPr>
            <w:tcW w:w="1896" w:type="dxa"/>
            <w:vMerge w:val="continue"/>
            <w:vAlign w:val="center"/>
          </w:tcPr>
          <w:p>
            <w:pPr>
              <w:widowControl/>
              <w:adjustRightInd w:val="0"/>
              <w:snapToGrid w:val="0"/>
              <w:spacing w:line="400" w:lineRule="exact"/>
              <w:jc w:val="center"/>
              <w:rPr>
                <w:rFonts w:hint="default" w:ascii="Times New Roman" w:hAnsi="Times New Roman" w:eastAsia="方正仿宋_GBK" w:cs="Times New Roman"/>
                <w:kern w:val="0"/>
                <w:szCs w:val="21"/>
              </w:rPr>
            </w:pPr>
          </w:p>
        </w:tc>
        <w:tc>
          <w:tcPr>
            <w:tcW w:w="992" w:type="dxa"/>
            <w:vAlign w:val="center"/>
          </w:tcPr>
          <w:p>
            <w:pPr>
              <w:widowControl/>
              <w:adjustRightInd w:val="0"/>
              <w:snapToGrid w:val="0"/>
              <w:spacing w:line="36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主城都市区</w:t>
            </w:r>
          </w:p>
        </w:tc>
        <w:tc>
          <w:tcPr>
            <w:tcW w:w="955" w:type="dxa"/>
            <w:vAlign w:val="center"/>
          </w:tcPr>
          <w:p>
            <w:pPr>
              <w:widowControl/>
              <w:adjustRightInd w:val="0"/>
              <w:snapToGrid w:val="0"/>
              <w:spacing w:line="4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渝东北</w:t>
            </w:r>
          </w:p>
        </w:tc>
        <w:tc>
          <w:tcPr>
            <w:tcW w:w="996" w:type="dxa"/>
            <w:vAlign w:val="center"/>
          </w:tcPr>
          <w:p>
            <w:pPr>
              <w:widowControl/>
              <w:adjustRightInd w:val="0"/>
              <w:snapToGrid w:val="0"/>
              <w:spacing w:line="4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渝东南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w:t>
            </w:r>
          </w:p>
        </w:tc>
        <w:tc>
          <w:tcPr>
            <w:tcW w:w="1041"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煤</w:t>
            </w:r>
          </w:p>
        </w:tc>
        <w:tc>
          <w:tcPr>
            <w:tcW w:w="24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焦煤、1/3焦煤</w:t>
            </w:r>
          </w:p>
        </w:tc>
        <w:tc>
          <w:tcPr>
            <w:tcW w:w="1896"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元/吨•矿石</w:t>
            </w:r>
          </w:p>
        </w:tc>
        <w:tc>
          <w:tcPr>
            <w:tcW w:w="2943"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1041"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24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其他煤类</w:t>
            </w:r>
          </w:p>
        </w:tc>
        <w:tc>
          <w:tcPr>
            <w:tcW w:w="1896"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2943"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w:t>
            </w:r>
          </w:p>
        </w:tc>
        <w:tc>
          <w:tcPr>
            <w:tcW w:w="1041"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地热</w:t>
            </w:r>
          </w:p>
        </w:tc>
        <w:tc>
          <w:tcPr>
            <w:tcW w:w="24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1896"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元/立方米</w:t>
            </w:r>
          </w:p>
        </w:tc>
        <w:tc>
          <w:tcPr>
            <w:tcW w:w="2943"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3</w:t>
            </w:r>
          </w:p>
        </w:tc>
        <w:tc>
          <w:tcPr>
            <w:tcW w:w="1041"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铁</w:t>
            </w:r>
          </w:p>
        </w:tc>
        <w:tc>
          <w:tcPr>
            <w:tcW w:w="24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1896"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元/吨•矿石</w:t>
            </w:r>
          </w:p>
        </w:tc>
        <w:tc>
          <w:tcPr>
            <w:tcW w:w="2943"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4</w:t>
            </w:r>
          </w:p>
        </w:tc>
        <w:tc>
          <w:tcPr>
            <w:tcW w:w="1041"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锰</w:t>
            </w:r>
          </w:p>
        </w:tc>
        <w:tc>
          <w:tcPr>
            <w:tcW w:w="24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Mn≥25%</w:t>
            </w:r>
          </w:p>
        </w:tc>
        <w:tc>
          <w:tcPr>
            <w:tcW w:w="1896"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元/吨•矿石</w:t>
            </w:r>
          </w:p>
        </w:tc>
        <w:tc>
          <w:tcPr>
            <w:tcW w:w="992"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955"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18.00</w:t>
            </w:r>
          </w:p>
        </w:tc>
        <w:tc>
          <w:tcPr>
            <w:tcW w:w="996"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1041"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24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20%≤Mn＜25%</w:t>
            </w:r>
          </w:p>
        </w:tc>
        <w:tc>
          <w:tcPr>
            <w:tcW w:w="1896"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992"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955"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12.00</w:t>
            </w:r>
          </w:p>
        </w:tc>
        <w:tc>
          <w:tcPr>
            <w:tcW w:w="996"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1041"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24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15%≤Mn＜20%</w:t>
            </w:r>
          </w:p>
        </w:tc>
        <w:tc>
          <w:tcPr>
            <w:tcW w:w="1896"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992"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955"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7.40</w:t>
            </w:r>
          </w:p>
        </w:tc>
        <w:tc>
          <w:tcPr>
            <w:tcW w:w="996"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1041"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24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Mn＜15%</w:t>
            </w:r>
          </w:p>
        </w:tc>
        <w:tc>
          <w:tcPr>
            <w:tcW w:w="1896"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992"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955"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5.00</w:t>
            </w:r>
          </w:p>
        </w:tc>
        <w:tc>
          <w:tcPr>
            <w:tcW w:w="996"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5</w:t>
            </w:r>
          </w:p>
        </w:tc>
        <w:tc>
          <w:tcPr>
            <w:tcW w:w="1041"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铅锌</w:t>
            </w:r>
          </w:p>
        </w:tc>
        <w:tc>
          <w:tcPr>
            <w:tcW w:w="24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(Pb+Zn)≥20%</w:t>
            </w:r>
          </w:p>
        </w:tc>
        <w:tc>
          <w:tcPr>
            <w:tcW w:w="1896"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元/吨•矿石</w:t>
            </w:r>
          </w:p>
        </w:tc>
        <w:tc>
          <w:tcPr>
            <w:tcW w:w="2943"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1041"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24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10%≤(Pb+Zn)＜20%</w:t>
            </w:r>
          </w:p>
        </w:tc>
        <w:tc>
          <w:tcPr>
            <w:tcW w:w="1896"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2943"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1041"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24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(Pb+Zn)＜10%</w:t>
            </w:r>
          </w:p>
        </w:tc>
        <w:tc>
          <w:tcPr>
            <w:tcW w:w="1896"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2943"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6</w:t>
            </w:r>
          </w:p>
        </w:tc>
        <w:tc>
          <w:tcPr>
            <w:tcW w:w="1041"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铝土矿</w:t>
            </w:r>
          </w:p>
        </w:tc>
        <w:tc>
          <w:tcPr>
            <w:tcW w:w="24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1896"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元/吨•矿石</w:t>
            </w:r>
          </w:p>
        </w:tc>
        <w:tc>
          <w:tcPr>
            <w:tcW w:w="2943"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7</w:t>
            </w:r>
          </w:p>
        </w:tc>
        <w:tc>
          <w:tcPr>
            <w:tcW w:w="1041"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锶</w:t>
            </w:r>
          </w:p>
        </w:tc>
        <w:tc>
          <w:tcPr>
            <w:tcW w:w="24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SrSO4＋SrCO3≥50%</w:t>
            </w:r>
          </w:p>
        </w:tc>
        <w:tc>
          <w:tcPr>
            <w:tcW w:w="1896"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元/吨•矿石</w:t>
            </w:r>
          </w:p>
        </w:tc>
        <w:tc>
          <w:tcPr>
            <w:tcW w:w="2943"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1041"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24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SrSO4＋SrCO3＜50%</w:t>
            </w:r>
          </w:p>
        </w:tc>
        <w:tc>
          <w:tcPr>
            <w:tcW w:w="1896"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2943"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8</w:t>
            </w:r>
          </w:p>
        </w:tc>
        <w:tc>
          <w:tcPr>
            <w:tcW w:w="1041"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硫铁矿</w:t>
            </w:r>
          </w:p>
        </w:tc>
        <w:tc>
          <w:tcPr>
            <w:tcW w:w="24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S≥35%</w:t>
            </w:r>
          </w:p>
        </w:tc>
        <w:tc>
          <w:tcPr>
            <w:tcW w:w="1896"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元/吨•矿石</w:t>
            </w:r>
          </w:p>
        </w:tc>
        <w:tc>
          <w:tcPr>
            <w:tcW w:w="2943"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1041"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24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S＜35%</w:t>
            </w:r>
          </w:p>
        </w:tc>
        <w:tc>
          <w:tcPr>
            <w:tcW w:w="1896"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2943"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9</w:t>
            </w:r>
          </w:p>
        </w:tc>
        <w:tc>
          <w:tcPr>
            <w:tcW w:w="1041"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石膏</w:t>
            </w:r>
          </w:p>
        </w:tc>
        <w:tc>
          <w:tcPr>
            <w:tcW w:w="24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1896"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元/吨•矿石</w:t>
            </w:r>
          </w:p>
        </w:tc>
        <w:tc>
          <w:tcPr>
            <w:tcW w:w="2943"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10</w:t>
            </w:r>
          </w:p>
        </w:tc>
        <w:tc>
          <w:tcPr>
            <w:tcW w:w="1041"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重晶石</w:t>
            </w:r>
          </w:p>
        </w:tc>
        <w:tc>
          <w:tcPr>
            <w:tcW w:w="24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BaSO</w:t>
            </w:r>
            <w:r>
              <w:rPr>
                <w:rFonts w:hint="default" w:ascii="Times New Roman" w:hAnsi="Times New Roman" w:eastAsia="方正仿宋_GBK" w:cs="Times New Roman"/>
                <w:kern w:val="0"/>
                <w:szCs w:val="21"/>
                <w:vertAlign w:val="subscript"/>
              </w:rPr>
              <w:t>4</w:t>
            </w:r>
            <w:r>
              <w:rPr>
                <w:rFonts w:hint="default" w:ascii="Times New Roman" w:hAnsi="Times New Roman" w:eastAsia="方正仿宋_GBK" w:cs="Times New Roman"/>
                <w:kern w:val="0"/>
                <w:szCs w:val="21"/>
              </w:rPr>
              <w:t>≥90%</w:t>
            </w:r>
          </w:p>
        </w:tc>
        <w:tc>
          <w:tcPr>
            <w:tcW w:w="1896"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元/吨•矿石</w:t>
            </w:r>
          </w:p>
        </w:tc>
        <w:tc>
          <w:tcPr>
            <w:tcW w:w="2943"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1041"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24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80%≤BaSO</w:t>
            </w:r>
            <w:r>
              <w:rPr>
                <w:rFonts w:hint="default" w:ascii="Times New Roman" w:hAnsi="Times New Roman" w:eastAsia="方正仿宋_GBK" w:cs="Times New Roman"/>
                <w:kern w:val="0"/>
                <w:szCs w:val="21"/>
                <w:vertAlign w:val="subscript"/>
              </w:rPr>
              <w:t>4</w:t>
            </w:r>
            <w:r>
              <w:rPr>
                <w:rFonts w:hint="default" w:ascii="Times New Roman" w:hAnsi="Times New Roman" w:eastAsia="方正仿宋_GBK" w:cs="Times New Roman"/>
                <w:kern w:val="0"/>
                <w:szCs w:val="21"/>
              </w:rPr>
              <w:t>＜90%</w:t>
            </w:r>
          </w:p>
        </w:tc>
        <w:tc>
          <w:tcPr>
            <w:tcW w:w="1896"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2943"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1041"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24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70%≤BaSO</w:t>
            </w:r>
            <w:r>
              <w:rPr>
                <w:rFonts w:hint="default" w:ascii="Times New Roman" w:hAnsi="Times New Roman" w:eastAsia="方正仿宋_GBK" w:cs="Times New Roman"/>
                <w:kern w:val="0"/>
                <w:szCs w:val="21"/>
                <w:vertAlign w:val="subscript"/>
              </w:rPr>
              <w:t>4</w:t>
            </w:r>
            <w:r>
              <w:rPr>
                <w:rFonts w:hint="default" w:ascii="Times New Roman" w:hAnsi="Times New Roman" w:eastAsia="方正仿宋_GBK" w:cs="Times New Roman"/>
                <w:kern w:val="0"/>
                <w:szCs w:val="21"/>
              </w:rPr>
              <w:t>＜80%</w:t>
            </w:r>
          </w:p>
        </w:tc>
        <w:tc>
          <w:tcPr>
            <w:tcW w:w="1896"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2943"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1041"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24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BaSO</w:t>
            </w:r>
            <w:r>
              <w:rPr>
                <w:rFonts w:hint="default" w:ascii="Times New Roman" w:hAnsi="Times New Roman" w:eastAsia="方正仿宋_GBK" w:cs="Times New Roman"/>
                <w:kern w:val="0"/>
                <w:szCs w:val="21"/>
                <w:vertAlign w:val="subscript"/>
              </w:rPr>
              <w:t>4</w:t>
            </w:r>
            <w:r>
              <w:rPr>
                <w:rFonts w:hint="default" w:ascii="Times New Roman" w:hAnsi="Times New Roman" w:eastAsia="方正仿宋_GBK" w:cs="Times New Roman"/>
                <w:kern w:val="0"/>
                <w:szCs w:val="21"/>
              </w:rPr>
              <w:t>＜70%</w:t>
            </w:r>
          </w:p>
        </w:tc>
        <w:tc>
          <w:tcPr>
            <w:tcW w:w="1896"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2943"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11</w:t>
            </w:r>
          </w:p>
        </w:tc>
        <w:tc>
          <w:tcPr>
            <w:tcW w:w="1041"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毒重石</w:t>
            </w:r>
          </w:p>
        </w:tc>
        <w:tc>
          <w:tcPr>
            <w:tcW w:w="24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BaCO</w:t>
            </w:r>
            <w:r>
              <w:rPr>
                <w:rFonts w:hint="default" w:ascii="Times New Roman" w:hAnsi="Times New Roman" w:eastAsia="方正仿宋_GBK" w:cs="Times New Roman"/>
                <w:kern w:val="0"/>
                <w:szCs w:val="21"/>
                <w:vertAlign w:val="subscript"/>
              </w:rPr>
              <w:t>3</w:t>
            </w:r>
            <w:r>
              <w:rPr>
                <w:rFonts w:hint="default" w:ascii="Times New Roman" w:hAnsi="Times New Roman" w:eastAsia="方正仿宋_GBK" w:cs="Times New Roman"/>
                <w:kern w:val="0"/>
                <w:szCs w:val="21"/>
              </w:rPr>
              <w:t>≥60%</w:t>
            </w:r>
          </w:p>
        </w:tc>
        <w:tc>
          <w:tcPr>
            <w:tcW w:w="1896"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元/吨•矿石</w:t>
            </w:r>
          </w:p>
        </w:tc>
        <w:tc>
          <w:tcPr>
            <w:tcW w:w="2943"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1041"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24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45%≤BaCO</w:t>
            </w:r>
            <w:r>
              <w:rPr>
                <w:rFonts w:hint="default" w:ascii="Times New Roman" w:hAnsi="Times New Roman" w:eastAsia="方正仿宋_GBK" w:cs="Times New Roman"/>
                <w:kern w:val="0"/>
                <w:szCs w:val="21"/>
                <w:vertAlign w:val="subscript"/>
              </w:rPr>
              <w:t>3</w:t>
            </w:r>
            <w:r>
              <w:rPr>
                <w:rFonts w:hint="default" w:ascii="Times New Roman" w:hAnsi="Times New Roman" w:eastAsia="方正仿宋_GBK" w:cs="Times New Roman"/>
                <w:kern w:val="0"/>
                <w:szCs w:val="21"/>
              </w:rPr>
              <w:t>＜60%</w:t>
            </w:r>
          </w:p>
        </w:tc>
        <w:tc>
          <w:tcPr>
            <w:tcW w:w="1896"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2943"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1041"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24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BaCO</w:t>
            </w:r>
            <w:r>
              <w:rPr>
                <w:rFonts w:hint="default" w:ascii="Times New Roman" w:hAnsi="Times New Roman" w:eastAsia="方正仿宋_GBK" w:cs="Times New Roman"/>
                <w:kern w:val="0"/>
                <w:szCs w:val="21"/>
                <w:vertAlign w:val="subscript"/>
              </w:rPr>
              <w:t>3</w:t>
            </w:r>
            <w:r>
              <w:rPr>
                <w:rFonts w:hint="default" w:ascii="Times New Roman" w:hAnsi="Times New Roman" w:eastAsia="方正仿宋_GBK" w:cs="Times New Roman"/>
                <w:kern w:val="0"/>
                <w:szCs w:val="21"/>
              </w:rPr>
              <w:t>＜45%</w:t>
            </w:r>
          </w:p>
        </w:tc>
        <w:tc>
          <w:tcPr>
            <w:tcW w:w="1896"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2943"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12</w:t>
            </w:r>
          </w:p>
        </w:tc>
        <w:tc>
          <w:tcPr>
            <w:tcW w:w="1041"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方解石</w:t>
            </w:r>
          </w:p>
        </w:tc>
        <w:tc>
          <w:tcPr>
            <w:tcW w:w="24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1896"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元/吨•矿石</w:t>
            </w:r>
          </w:p>
        </w:tc>
        <w:tc>
          <w:tcPr>
            <w:tcW w:w="2943"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13</w:t>
            </w:r>
          </w:p>
        </w:tc>
        <w:tc>
          <w:tcPr>
            <w:tcW w:w="1041"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萤石（普通）</w:t>
            </w:r>
          </w:p>
        </w:tc>
        <w:tc>
          <w:tcPr>
            <w:tcW w:w="24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CaF</w:t>
            </w:r>
            <w:r>
              <w:rPr>
                <w:rFonts w:hint="default" w:ascii="Times New Roman" w:hAnsi="Times New Roman" w:eastAsia="方正仿宋_GBK" w:cs="Times New Roman"/>
                <w:kern w:val="0"/>
                <w:szCs w:val="21"/>
                <w:vertAlign w:val="subscript"/>
              </w:rPr>
              <w:t>2</w:t>
            </w:r>
            <w:r>
              <w:rPr>
                <w:rFonts w:hint="default" w:ascii="Times New Roman" w:hAnsi="Times New Roman" w:eastAsia="方正仿宋_GBK" w:cs="Times New Roman"/>
                <w:kern w:val="0"/>
                <w:szCs w:val="21"/>
              </w:rPr>
              <w:t>≥70%</w:t>
            </w:r>
          </w:p>
        </w:tc>
        <w:tc>
          <w:tcPr>
            <w:tcW w:w="1896"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元/吨•矿石</w:t>
            </w:r>
          </w:p>
        </w:tc>
        <w:tc>
          <w:tcPr>
            <w:tcW w:w="2943"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1041"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24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60%≤CaF</w:t>
            </w:r>
            <w:r>
              <w:rPr>
                <w:rFonts w:hint="default" w:ascii="Times New Roman" w:hAnsi="Times New Roman" w:eastAsia="方正仿宋_GBK" w:cs="Times New Roman"/>
                <w:kern w:val="0"/>
                <w:szCs w:val="21"/>
                <w:vertAlign w:val="subscript"/>
              </w:rPr>
              <w:t>2</w:t>
            </w:r>
            <w:r>
              <w:rPr>
                <w:rFonts w:hint="default" w:ascii="Times New Roman" w:hAnsi="Times New Roman" w:eastAsia="方正仿宋_GBK" w:cs="Times New Roman"/>
                <w:kern w:val="0"/>
                <w:szCs w:val="21"/>
              </w:rPr>
              <w:t>＜70%</w:t>
            </w:r>
          </w:p>
        </w:tc>
        <w:tc>
          <w:tcPr>
            <w:tcW w:w="1896"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2943"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1041"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24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50%≤CaF</w:t>
            </w:r>
            <w:r>
              <w:rPr>
                <w:rFonts w:hint="default" w:ascii="Times New Roman" w:hAnsi="Times New Roman" w:eastAsia="方正仿宋_GBK" w:cs="Times New Roman"/>
                <w:kern w:val="0"/>
                <w:szCs w:val="21"/>
                <w:vertAlign w:val="subscript"/>
              </w:rPr>
              <w:t>2</w:t>
            </w:r>
            <w:r>
              <w:rPr>
                <w:rFonts w:hint="default" w:ascii="Times New Roman" w:hAnsi="Times New Roman" w:eastAsia="方正仿宋_GBK" w:cs="Times New Roman"/>
                <w:kern w:val="0"/>
                <w:szCs w:val="21"/>
              </w:rPr>
              <w:t>＜60%</w:t>
            </w:r>
          </w:p>
        </w:tc>
        <w:tc>
          <w:tcPr>
            <w:tcW w:w="1896"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2943"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1041"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24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40%≤CaF</w:t>
            </w:r>
            <w:r>
              <w:rPr>
                <w:rFonts w:hint="default" w:ascii="Times New Roman" w:hAnsi="Times New Roman" w:eastAsia="方正仿宋_GBK" w:cs="Times New Roman"/>
                <w:kern w:val="0"/>
                <w:szCs w:val="21"/>
                <w:vertAlign w:val="subscript"/>
              </w:rPr>
              <w:t>2</w:t>
            </w:r>
            <w:r>
              <w:rPr>
                <w:rFonts w:hint="default" w:ascii="Times New Roman" w:hAnsi="Times New Roman" w:eastAsia="方正仿宋_GBK" w:cs="Times New Roman"/>
                <w:kern w:val="0"/>
                <w:szCs w:val="21"/>
              </w:rPr>
              <w:t>＜50%</w:t>
            </w:r>
          </w:p>
        </w:tc>
        <w:tc>
          <w:tcPr>
            <w:tcW w:w="1896"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2943"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1041"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24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CaF</w:t>
            </w:r>
            <w:r>
              <w:rPr>
                <w:rFonts w:hint="default" w:ascii="Times New Roman" w:hAnsi="Times New Roman" w:eastAsia="方正仿宋_GBK" w:cs="Times New Roman"/>
                <w:kern w:val="0"/>
                <w:szCs w:val="21"/>
                <w:vertAlign w:val="subscript"/>
              </w:rPr>
              <w:t>2</w:t>
            </w:r>
            <w:r>
              <w:rPr>
                <w:rFonts w:hint="default" w:ascii="Times New Roman" w:hAnsi="Times New Roman" w:eastAsia="方正仿宋_GBK" w:cs="Times New Roman"/>
                <w:kern w:val="0"/>
                <w:szCs w:val="21"/>
              </w:rPr>
              <w:t>＜40%</w:t>
            </w:r>
          </w:p>
        </w:tc>
        <w:tc>
          <w:tcPr>
            <w:tcW w:w="1896"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2943"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14</w:t>
            </w:r>
          </w:p>
        </w:tc>
        <w:tc>
          <w:tcPr>
            <w:tcW w:w="1041"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石灰岩</w:t>
            </w:r>
          </w:p>
        </w:tc>
        <w:tc>
          <w:tcPr>
            <w:tcW w:w="2414" w:type="dxa"/>
            <w:vAlign w:val="center"/>
          </w:tcPr>
          <w:p>
            <w:pPr>
              <w:widowControl/>
              <w:adjustRightInd w:val="0"/>
              <w:snapToGrid w:val="0"/>
              <w:spacing w:line="36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电石用、化肥用、熔剂用、玻璃用、制灰用、水泥用、建筑石料用</w:t>
            </w:r>
          </w:p>
        </w:tc>
        <w:tc>
          <w:tcPr>
            <w:tcW w:w="1896"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元/吨•矿石</w:t>
            </w:r>
          </w:p>
        </w:tc>
        <w:tc>
          <w:tcPr>
            <w:tcW w:w="992"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3.20</w:t>
            </w:r>
          </w:p>
        </w:tc>
        <w:tc>
          <w:tcPr>
            <w:tcW w:w="955"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2.60</w:t>
            </w:r>
          </w:p>
        </w:tc>
        <w:tc>
          <w:tcPr>
            <w:tcW w:w="996"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1041"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24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饰面用</w:t>
            </w:r>
          </w:p>
        </w:tc>
        <w:tc>
          <w:tcPr>
            <w:tcW w:w="1896"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元/立方米•矿石</w:t>
            </w:r>
          </w:p>
        </w:tc>
        <w:tc>
          <w:tcPr>
            <w:tcW w:w="2943"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15</w:t>
            </w:r>
          </w:p>
        </w:tc>
        <w:tc>
          <w:tcPr>
            <w:tcW w:w="1041"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白云岩</w:t>
            </w:r>
          </w:p>
        </w:tc>
        <w:tc>
          <w:tcPr>
            <w:tcW w:w="24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冶金用、化肥用、玻璃用、建筑用</w:t>
            </w:r>
          </w:p>
        </w:tc>
        <w:tc>
          <w:tcPr>
            <w:tcW w:w="1896"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元/吨•矿石</w:t>
            </w:r>
          </w:p>
        </w:tc>
        <w:tc>
          <w:tcPr>
            <w:tcW w:w="992"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2.60</w:t>
            </w:r>
          </w:p>
        </w:tc>
        <w:tc>
          <w:tcPr>
            <w:tcW w:w="955"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2.20</w:t>
            </w:r>
          </w:p>
        </w:tc>
        <w:tc>
          <w:tcPr>
            <w:tcW w:w="996"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1041"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24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饰面用</w:t>
            </w:r>
          </w:p>
        </w:tc>
        <w:tc>
          <w:tcPr>
            <w:tcW w:w="1896"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元/立方米•矿石</w:t>
            </w:r>
          </w:p>
        </w:tc>
        <w:tc>
          <w:tcPr>
            <w:tcW w:w="2943"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16</w:t>
            </w:r>
          </w:p>
        </w:tc>
        <w:tc>
          <w:tcPr>
            <w:tcW w:w="1041"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砂岩</w:t>
            </w:r>
          </w:p>
        </w:tc>
        <w:tc>
          <w:tcPr>
            <w:tcW w:w="2414" w:type="dxa"/>
            <w:vAlign w:val="center"/>
          </w:tcPr>
          <w:p>
            <w:pPr>
              <w:widowControl/>
              <w:adjustRightInd w:val="0"/>
              <w:snapToGrid w:val="0"/>
              <w:spacing w:line="36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冶金用、玻璃用、铸型用、陶瓷用、耐火用、水泥配料用、建筑用、砖瓦用</w:t>
            </w:r>
          </w:p>
        </w:tc>
        <w:tc>
          <w:tcPr>
            <w:tcW w:w="1896"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元/吨•矿石</w:t>
            </w:r>
          </w:p>
        </w:tc>
        <w:tc>
          <w:tcPr>
            <w:tcW w:w="992"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2.60</w:t>
            </w:r>
          </w:p>
        </w:tc>
        <w:tc>
          <w:tcPr>
            <w:tcW w:w="955"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2.20</w:t>
            </w:r>
          </w:p>
        </w:tc>
        <w:tc>
          <w:tcPr>
            <w:tcW w:w="996"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1041"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24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饰面用</w:t>
            </w:r>
          </w:p>
        </w:tc>
        <w:tc>
          <w:tcPr>
            <w:tcW w:w="1896"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元/立方米•矿石</w:t>
            </w:r>
          </w:p>
        </w:tc>
        <w:tc>
          <w:tcPr>
            <w:tcW w:w="2943"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17</w:t>
            </w:r>
          </w:p>
        </w:tc>
        <w:tc>
          <w:tcPr>
            <w:tcW w:w="1041"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页岩</w:t>
            </w:r>
          </w:p>
        </w:tc>
        <w:tc>
          <w:tcPr>
            <w:tcW w:w="24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陶粒用</w:t>
            </w:r>
          </w:p>
        </w:tc>
        <w:tc>
          <w:tcPr>
            <w:tcW w:w="1896"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元/吨•矿石</w:t>
            </w:r>
          </w:p>
        </w:tc>
        <w:tc>
          <w:tcPr>
            <w:tcW w:w="2943"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1041"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24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砖瓦用、水泥配料用</w:t>
            </w:r>
          </w:p>
        </w:tc>
        <w:tc>
          <w:tcPr>
            <w:tcW w:w="1896"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2943"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18</w:t>
            </w:r>
          </w:p>
        </w:tc>
        <w:tc>
          <w:tcPr>
            <w:tcW w:w="1041"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高岭土</w:t>
            </w:r>
          </w:p>
        </w:tc>
        <w:tc>
          <w:tcPr>
            <w:tcW w:w="24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1896"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元/吨•矿石</w:t>
            </w:r>
          </w:p>
        </w:tc>
        <w:tc>
          <w:tcPr>
            <w:tcW w:w="2943"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19</w:t>
            </w:r>
          </w:p>
        </w:tc>
        <w:tc>
          <w:tcPr>
            <w:tcW w:w="1041"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陶瓷土</w:t>
            </w:r>
          </w:p>
        </w:tc>
        <w:tc>
          <w:tcPr>
            <w:tcW w:w="24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1896"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元/吨•矿石</w:t>
            </w:r>
          </w:p>
        </w:tc>
        <w:tc>
          <w:tcPr>
            <w:tcW w:w="2943"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20</w:t>
            </w:r>
          </w:p>
        </w:tc>
        <w:tc>
          <w:tcPr>
            <w:tcW w:w="1041"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粘土</w:t>
            </w:r>
          </w:p>
        </w:tc>
        <w:tc>
          <w:tcPr>
            <w:tcW w:w="2414" w:type="dxa"/>
            <w:vAlign w:val="center"/>
          </w:tcPr>
          <w:p>
            <w:pPr>
              <w:widowControl/>
              <w:adjustRightInd w:val="0"/>
              <w:snapToGrid w:val="0"/>
              <w:spacing w:line="36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耐火粘土、凹凸棒石粘土、海泡石粘土、伊利石粘土、保温材料粘土</w:t>
            </w:r>
          </w:p>
        </w:tc>
        <w:tc>
          <w:tcPr>
            <w:tcW w:w="1896"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元/吨•矿石</w:t>
            </w:r>
          </w:p>
        </w:tc>
        <w:tc>
          <w:tcPr>
            <w:tcW w:w="2943"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21</w:t>
            </w:r>
          </w:p>
        </w:tc>
        <w:tc>
          <w:tcPr>
            <w:tcW w:w="1041"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岩盐</w:t>
            </w:r>
          </w:p>
        </w:tc>
        <w:tc>
          <w:tcPr>
            <w:tcW w:w="24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1896"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元/吨•矿石</w:t>
            </w:r>
          </w:p>
        </w:tc>
        <w:tc>
          <w:tcPr>
            <w:tcW w:w="2943"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22</w:t>
            </w:r>
          </w:p>
        </w:tc>
        <w:tc>
          <w:tcPr>
            <w:tcW w:w="1041"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矿泉水</w:t>
            </w:r>
          </w:p>
        </w:tc>
        <w:tc>
          <w:tcPr>
            <w:tcW w:w="241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1896"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元/立方米</w:t>
            </w:r>
          </w:p>
        </w:tc>
        <w:tc>
          <w:tcPr>
            <w:tcW w:w="2943"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3.45</w:t>
            </w:r>
          </w:p>
        </w:tc>
      </w:tr>
    </w:tbl>
    <w:p>
      <w:pPr>
        <w:widowControl/>
        <w:adjustRightInd w:val="0"/>
        <w:snapToGrid w:val="0"/>
        <w:spacing w:line="360" w:lineRule="exact"/>
        <w:jc w:val="both"/>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备注：1.本表中的固体矿产以矿区范围内资源量（含推断资源量、控制资源量、探明资源量）为准，地热、矿泉水以允许开采量为准；2.矿石品位以矿区内矿石平均品位为准；3.本表中主城都市区：包含涪陵区、渝中区、大渡口区、江北区、沙坪坝区、九龙坡区、南岸区、北碚区、渝北区、巴南区、长寿区、江津区、合川区、永川区、南川区、綦江区、大足区、铜梁区、璧山区、潼南区、荣昌区、两江新区、重庆高新区、万盛经开区；渝东北：包含万州区、开州区、梁平区、城口县、丰都县、忠县、垫江县、云阳县、奉节县、巫山县、巫溪县；渝东南：包含黔江区、武隆区、石柱县、秀山县、酉阳县、彭水县；4.本表中未分品位的矿种按表中数值确定单位基准价；分品位的矿种，按矿区内矿石平均品位利用插入法确定单位基准价，低于最低品级下限品位的矿石单位基准价按矿种最低品级单位基准价确定</w:t>
      </w:r>
    </w:p>
    <w:p>
      <w:pPr>
        <w:pStyle w:val="2"/>
        <w:rPr>
          <w:rFonts w:hint="default" w:ascii="Times New Roman" w:hAnsi="Times New Roman" w:eastAsia="方正仿宋_GBK" w:cs="Times New Roman"/>
          <w:kern w:val="0"/>
          <w:szCs w:val="21"/>
        </w:rPr>
      </w:pPr>
    </w:p>
    <w:p>
      <w:pPr>
        <w:rPr>
          <w:rFonts w:hint="default" w:ascii="Times New Roman" w:hAnsi="Times New Roman" w:eastAsia="方正仿宋_GBK" w:cs="Times New Roman"/>
          <w:kern w:val="0"/>
          <w:szCs w:val="21"/>
        </w:rPr>
      </w:pPr>
    </w:p>
    <w:p>
      <w:pPr>
        <w:pStyle w:val="2"/>
        <w:rPr>
          <w:rFonts w:hint="default" w:ascii="Times New Roman" w:hAnsi="Times New Roman" w:eastAsia="方正仿宋_GBK" w:cs="Times New Roman"/>
          <w:kern w:val="0"/>
          <w:szCs w:val="21"/>
        </w:rPr>
      </w:pPr>
    </w:p>
    <w:p>
      <w:pPr>
        <w:rPr>
          <w:rFonts w:hint="default" w:ascii="Times New Roman" w:hAnsi="Times New Roman" w:eastAsia="方正仿宋_GBK" w:cs="Times New Roman"/>
          <w:kern w:val="0"/>
          <w:szCs w:val="21"/>
        </w:rPr>
      </w:pPr>
    </w:p>
    <w:p>
      <w:pPr>
        <w:pStyle w:val="2"/>
        <w:rPr>
          <w:rFonts w:hint="default" w:ascii="Times New Roman" w:hAnsi="Times New Roman" w:eastAsia="方正仿宋_GBK" w:cs="Times New Roman"/>
          <w:kern w:val="0"/>
          <w:szCs w:val="21"/>
        </w:rPr>
      </w:pPr>
    </w:p>
    <w:p>
      <w:pPr>
        <w:rPr>
          <w:rFonts w:hint="default" w:ascii="Times New Roman" w:hAnsi="Times New Roman" w:eastAsia="方正仿宋_GBK" w:cs="Times New Roman"/>
          <w:kern w:val="0"/>
          <w:szCs w:val="21"/>
        </w:rPr>
      </w:pPr>
    </w:p>
    <w:p>
      <w:pPr>
        <w:pStyle w:val="2"/>
        <w:rPr>
          <w:rFonts w:hint="default"/>
        </w:rPr>
      </w:pPr>
    </w:p>
    <w:p>
      <w:pPr>
        <w:rPr>
          <w:rFonts w:hint="default" w:ascii="Times New Roman" w:hAnsi="Times New Roman" w:eastAsia="方正仿宋_GBK" w:cs="Times New Roman"/>
          <w:kern w:val="0"/>
          <w:szCs w:val="21"/>
        </w:rPr>
      </w:pPr>
    </w:p>
    <w:p>
      <w:pPr>
        <w:pStyle w:val="2"/>
        <w:rPr>
          <w:rFonts w:hint="default" w:ascii="Times New Roman" w:hAnsi="Times New Roman" w:eastAsia="方正仿宋_GBK" w:cs="Times New Roman"/>
          <w:kern w:val="0"/>
          <w:szCs w:val="21"/>
        </w:rPr>
      </w:pPr>
    </w:p>
    <w:p>
      <w:pPr>
        <w:rPr>
          <w:rFonts w:hint="default" w:ascii="Times New Roman" w:hAnsi="Times New Roman" w:eastAsia="方正仿宋_GBK" w:cs="Times New Roman"/>
          <w:kern w:val="0"/>
          <w:szCs w:val="21"/>
        </w:rPr>
      </w:pPr>
    </w:p>
    <w:p>
      <w:pPr>
        <w:pStyle w:val="2"/>
        <w:rPr>
          <w:rFonts w:hint="default" w:ascii="Times New Roman" w:hAnsi="Times New Roman" w:eastAsia="方正仿宋_GBK" w:cs="Times New Roman"/>
          <w:kern w:val="0"/>
          <w:szCs w:val="21"/>
        </w:rPr>
      </w:pPr>
    </w:p>
    <w:p>
      <w:pPr>
        <w:rPr>
          <w:rFonts w:hint="default" w:ascii="Times New Roman" w:hAnsi="Times New Roman" w:eastAsia="方正仿宋_GBK" w:cs="Times New Roman"/>
          <w:kern w:val="0"/>
          <w:szCs w:val="21"/>
        </w:rPr>
      </w:pPr>
    </w:p>
    <w:p>
      <w:pPr>
        <w:pStyle w:val="2"/>
        <w:rPr>
          <w:rFonts w:hint="default" w:ascii="Times New Roman" w:hAnsi="Times New Roman" w:eastAsia="方正仿宋_GBK" w:cs="Times New Roman"/>
          <w:kern w:val="0"/>
          <w:szCs w:val="21"/>
        </w:rPr>
      </w:pPr>
    </w:p>
    <w:p>
      <w:pPr>
        <w:rPr>
          <w:rFonts w:hint="default"/>
        </w:rPr>
      </w:pPr>
    </w:p>
    <w:p>
      <w:pPr>
        <w:rPr>
          <w:rFonts w:hint="default" w:ascii="Times New Roman" w:hAnsi="Times New Roman" w:eastAsia="方正仿宋_GBK" w:cs="Times New Roman"/>
          <w:kern w:val="0"/>
          <w:szCs w:val="21"/>
        </w:rPr>
      </w:pPr>
    </w:p>
    <w:p>
      <w:pPr>
        <w:pStyle w:val="3"/>
        <w:widowControl/>
        <w:adjustRightInd w:val="0"/>
        <w:snapToGrid w:val="0"/>
        <w:spacing w:line="600" w:lineRule="exact"/>
        <w:jc w:val="left"/>
        <w:rPr>
          <w:rFonts w:hint="default" w:ascii="Times New Roman" w:hAnsi="Times New Roman" w:eastAsia="方正黑体_GBK" w:cs="Times New Roman"/>
          <w:sz w:val="32"/>
          <w:szCs w:val="32"/>
        </w:rPr>
      </w:pPr>
      <w:r>
        <w:rPr>
          <w:rFonts w:hint="default" w:ascii="Times New Roman" w:hAnsi="Times New Roman" w:eastAsia="方正黑体_GBK" w:cs="Times New Roman"/>
          <w:bCs/>
          <w:sz w:val="32"/>
          <w:szCs w:val="32"/>
        </w:rPr>
        <w:t>表2</w:t>
      </w:r>
    </w:p>
    <w:p>
      <w:pPr>
        <w:pStyle w:val="3"/>
        <w:keepNext w:val="0"/>
        <w:keepLines w:val="0"/>
        <w:snapToGrid w:val="0"/>
        <w:spacing w:before="0" w:after="0" w:line="600" w:lineRule="exact"/>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探矿权出让基准价</w:t>
      </w:r>
    </w:p>
    <w:p>
      <w:pPr>
        <w:pStyle w:val="3"/>
        <w:keepNext w:val="0"/>
        <w:keepLines w:val="0"/>
        <w:snapToGrid w:val="0"/>
        <w:spacing w:before="0" w:after="0" w:line="600" w:lineRule="exact"/>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（固体矿产）</w:t>
      </w:r>
    </w:p>
    <w:p>
      <w:pPr>
        <w:rPr>
          <w:rFonts w:hint="default" w:ascii="Times New Roman" w:hAnsi="Times New Roman" w:cs="Times New Roman"/>
        </w:rPr>
      </w:pPr>
    </w:p>
    <w:tbl>
      <w:tblPr>
        <w:tblStyle w:val="11"/>
        <w:tblW w:w="90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955"/>
        <w:gridCol w:w="2509"/>
        <w:gridCol w:w="1904"/>
        <w:gridCol w:w="1072"/>
        <w:gridCol w:w="886"/>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blHeader/>
          <w:jc w:val="center"/>
        </w:trPr>
        <w:tc>
          <w:tcPr>
            <w:tcW w:w="765" w:type="dxa"/>
            <w:vMerge w:val="restart"/>
            <w:vAlign w:val="center"/>
          </w:tcPr>
          <w:p>
            <w:pPr>
              <w:widowControl/>
              <w:adjustRightInd w:val="0"/>
              <w:snapToGrid w:val="0"/>
              <w:spacing w:line="4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序号</w:t>
            </w:r>
          </w:p>
        </w:tc>
        <w:tc>
          <w:tcPr>
            <w:tcW w:w="3464" w:type="dxa"/>
            <w:gridSpan w:val="2"/>
            <w:vMerge w:val="restart"/>
            <w:vAlign w:val="center"/>
          </w:tcPr>
          <w:p>
            <w:pPr>
              <w:widowControl/>
              <w:adjustRightInd w:val="0"/>
              <w:snapToGrid w:val="0"/>
              <w:spacing w:line="4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矿种</w:t>
            </w:r>
          </w:p>
        </w:tc>
        <w:tc>
          <w:tcPr>
            <w:tcW w:w="1904" w:type="dxa"/>
            <w:vMerge w:val="restart"/>
            <w:vAlign w:val="center"/>
          </w:tcPr>
          <w:p>
            <w:pPr>
              <w:widowControl/>
              <w:adjustRightInd w:val="0"/>
              <w:snapToGrid w:val="0"/>
              <w:spacing w:line="4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单位</w:t>
            </w:r>
          </w:p>
          <w:p>
            <w:pPr>
              <w:widowControl/>
              <w:adjustRightInd w:val="0"/>
              <w:snapToGrid w:val="0"/>
              <w:spacing w:line="4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（矿产资源）</w:t>
            </w:r>
          </w:p>
        </w:tc>
        <w:tc>
          <w:tcPr>
            <w:tcW w:w="2880" w:type="dxa"/>
            <w:gridSpan w:val="3"/>
            <w:vAlign w:val="center"/>
          </w:tcPr>
          <w:p>
            <w:pPr>
              <w:widowControl/>
              <w:adjustRightInd w:val="0"/>
              <w:snapToGrid w:val="0"/>
              <w:spacing w:line="4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单位基准价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65" w:type="dxa"/>
            <w:vMerge w:val="continue"/>
            <w:vAlign w:val="center"/>
          </w:tcPr>
          <w:p>
            <w:pPr>
              <w:widowControl/>
              <w:adjustRightInd w:val="0"/>
              <w:snapToGrid w:val="0"/>
              <w:spacing w:line="400" w:lineRule="exact"/>
              <w:jc w:val="center"/>
              <w:rPr>
                <w:rFonts w:hint="default" w:ascii="Times New Roman" w:hAnsi="Times New Roman" w:eastAsia="方正仿宋_GBK" w:cs="Times New Roman"/>
                <w:kern w:val="0"/>
                <w:szCs w:val="21"/>
              </w:rPr>
            </w:pPr>
          </w:p>
        </w:tc>
        <w:tc>
          <w:tcPr>
            <w:tcW w:w="3464" w:type="dxa"/>
            <w:gridSpan w:val="2"/>
            <w:vMerge w:val="continue"/>
            <w:vAlign w:val="center"/>
          </w:tcPr>
          <w:p>
            <w:pPr>
              <w:widowControl/>
              <w:adjustRightInd w:val="0"/>
              <w:snapToGrid w:val="0"/>
              <w:spacing w:line="400" w:lineRule="exact"/>
              <w:jc w:val="center"/>
              <w:rPr>
                <w:rFonts w:hint="default" w:ascii="Times New Roman" w:hAnsi="Times New Roman" w:eastAsia="方正仿宋_GBK" w:cs="Times New Roman"/>
                <w:kern w:val="0"/>
                <w:szCs w:val="21"/>
              </w:rPr>
            </w:pPr>
          </w:p>
        </w:tc>
        <w:tc>
          <w:tcPr>
            <w:tcW w:w="1904" w:type="dxa"/>
            <w:vMerge w:val="continue"/>
            <w:vAlign w:val="center"/>
          </w:tcPr>
          <w:p>
            <w:pPr>
              <w:widowControl/>
              <w:adjustRightInd w:val="0"/>
              <w:snapToGrid w:val="0"/>
              <w:spacing w:line="400" w:lineRule="exact"/>
              <w:jc w:val="center"/>
              <w:rPr>
                <w:rFonts w:hint="default" w:ascii="Times New Roman" w:hAnsi="Times New Roman" w:eastAsia="方正仿宋_GBK" w:cs="Times New Roman"/>
                <w:kern w:val="0"/>
                <w:szCs w:val="21"/>
              </w:rPr>
            </w:pPr>
          </w:p>
        </w:tc>
        <w:tc>
          <w:tcPr>
            <w:tcW w:w="1072" w:type="dxa"/>
            <w:vAlign w:val="center"/>
          </w:tcPr>
          <w:p>
            <w:pPr>
              <w:widowControl/>
              <w:adjustRightInd w:val="0"/>
              <w:snapToGrid w:val="0"/>
              <w:spacing w:line="4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主城</w:t>
            </w:r>
          </w:p>
          <w:p>
            <w:pPr>
              <w:widowControl/>
              <w:adjustRightInd w:val="0"/>
              <w:snapToGrid w:val="0"/>
              <w:spacing w:line="4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都市区</w:t>
            </w:r>
          </w:p>
        </w:tc>
        <w:tc>
          <w:tcPr>
            <w:tcW w:w="886" w:type="dxa"/>
            <w:vAlign w:val="center"/>
          </w:tcPr>
          <w:p>
            <w:pPr>
              <w:widowControl/>
              <w:adjustRightInd w:val="0"/>
              <w:snapToGrid w:val="0"/>
              <w:spacing w:line="4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渝东北</w:t>
            </w:r>
          </w:p>
        </w:tc>
        <w:tc>
          <w:tcPr>
            <w:tcW w:w="922" w:type="dxa"/>
            <w:vAlign w:val="center"/>
          </w:tcPr>
          <w:p>
            <w:pPr>
              <w:widowControl/>
              <w:adjustRightInd w:val="0"/>
              <w:snapToGrid w:val="0"/>
              <w:spacing w:line="4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渝东南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w:t>
            </w:r>
          </w:p>
        </w:tc>
        <w:tc>
          <w:tcPr>
            <w:tcW w:w="955"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煤</w:t>
            </w:r>
          </w:p>
        </w:tc>
        <w:tc>
          <w:tcPr>
            <w:tcW w:w="2509"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焦煤、1/3焦煤</w:t>
            </w:r>
          </w:p>
        </w:tc>
        <w:tc>
          <w:tcPr>
            <w:tcW w:w="190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元/吨•矿石</w:t>
            </w:r>
          </w:p>
        </w:tc>
        <w:tc>
          <w:tcPr>
            <w:tcW w:w="2880"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955"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2509"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其他煤类</w:t>
            </w:r>
          </w:p>
        </w:tc>
        <w:tc>
          <w:tcPr>
            <w:tcW w:w="190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元/吨•矿石</w:t>
            </w:r>
          </w:p>
        </w:tc>
        <w:tc>
          <w:tcPr>
            <w:tcW w:w="2880"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w:t>
            </w:r>
          </w:p>
        </w:tc>
        <w:tc>
          <w:tcPr>
            <w:tcW w:w="955"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铁</w:t>
            </w:r>
          </w:p>
        </w:tc>
        <w:tc>
          <w:tcPr>
            <w:tcW w:w="2509"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190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元/吨•矿石</w:t>
            </w:r>
          </w:p>
        </w:tc>
        <w:tc>
          <w:tcPr>
            <w:tcW w:w="2880"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3</w:t>
            </w:r>
          </w:p>
        </w:tc>
        <w:tc>
          <w:tcPr>
            <w:tcW w:w="955"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锰</w:t>
            </w:r>
          </w:p>
        </w:tc>
        <w:tc>
          <w:tcPr>
            <w:tcW w:w="2509"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190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元/吨•矿石</w:t>
            </w:r>
          </w:p>
        </w:tc>
        <w:tc>
          <w:tcPr>
            <w:tcW w:w="1072"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886"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5.55</w:t>
            </w:r>
          </w:p>
        </w:tc>
        <w:tc>
          <w:tcPr>
            <w:tcW w:w="922"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4</w:t>
            </w:r>
          </w:p>
        </w:tc>
        <w:tc>
          <w:tcPr>
            <w:tcW w:w="955"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铅锌</w:t>
            </w:r>
          </w:p>
        </w:tc>
        <w:tc>
          <w:tcPr>
            <w:tcW w:w="2509"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190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元/吨•矿石</w:t>
            </w:r>
          </w:p>
        </w:tc>
        <w:tc>
          <w:tcPr>
            <w:tcW w:w="2880"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5</w:t>
            </w:r>
          </w:p>
        </w:tc>
        <w:tc>
          <w:tcPr>
            <w:tcW w:w="955"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铝土矿</w:t>
            </w:r>
          </w:p>
        </w:tc>
        <w:tc>
          <w:tcPr>
            <w:tcW w:w="2509"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190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元/吨•矿石</w:t>
            </w:r>
          </w:p>
        </w:tc>
        <w:tc>
          <w:tcPr>
            <w:tcW w:w="2880"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6</w:t>
            </w:r>
          </w:p>
        </w:tc>
        <w:tc>
          <w:tcPr>
            <w:tcW w:w="955"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锶</w:t>
            </w:r>
          </w:p>
        </w:tc>
        <w:tc>
          <w:tcPr>
            <w:tcW w:w="2509"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190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元/吨•矿石</w:t>
            </w:r>
          </w:p>
        </w:tc>
        <w:tc>
          <w:tcPr>
            <w:tcW w:w="2880"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7</w:t>
            </w:r>
          </w:p>
        </w:tc>
        <w:tc>
          <w:tcPr>
            <w:tcW w:w="955"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硫铁矿</w:t>
            </w:r>
          </w:p>
        </w:tc>
        <w:tc>
          <w:tcPr>
            <w:tcW w:w="2509"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190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元/吨•矿石</w:t>
            </w:r>
          </w:p>
        </w:tc>
        <w:tc>
          <w:tcPr>
            <w:tcW w:w="2880"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8</w:t>
            </w:r>
          </w:p>
        </w:tc>
        <w:tc>
          <w:tcPr>
            <w:tcW w:w="955"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石膏</w:t>
            </w:r>
          </w:p>
        </w:tc>
        <w:tc>
          <w:tcPr>
            <w:tcW w:w="2509"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190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元/吨•矿石</w:t>
            </w:r>
          </w:p>
        </w:tc>
        <w:tc>
          <w:tcPr>
            <w:tcW w:w="2880"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9</w:t>
            </w:r>
          </w:p>
        </w:tc>
        <w:tc>
          <w:tcPr>
            <w:tcW w:w="955"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重晶石</w:t>
            </w:r>
          </w:p>
        </w:tc>
        <w:tc>
          <w:tcPr>
            <w:tcW w:w="2509"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190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元/吨•矿石</w:t>
            </w:r>
          </w:p>
        </w:tc>
        <w:tc>
          <w:tcPr>
            <w:tcW w:w="2880"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10</w:t>
            </w:r>
          </w:p>
        </w:tc>
        <w:tc>
          <w:tcPr>
            <w:tcW w:w="955"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毒重石</w:t>
            </w:r>
          </w:p>
        </w:tc>
        <w:tc>
          <w:tcPr>
            <w:tcW w:w="2509"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190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元/吨•矿石</w:t>
            </w:r>
          </w:p>
        </w:tc>
        <w:tc>
          <w:tcPr>
            <w:tcW w:w="2880"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11</w:t>
            </w:r>
          </w:p>
        </w:tc>
        <w:tc>
          <w:tcPr>
            <w:tcW w:w="955"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方解石</w:t>
            </w:r>
          </w:p>
        </w:tc>
        <w:tc>
          <w:tcPr>
            <w:tcW w:w="2509"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190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元/吨•矿石</w:t>
            </w:r>
          </w:p>
        </w:tc>
        <w:tc>
          <w:tcPr>
            <w:tcW w:w="2880"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12</w:t>
            </w:r>
          </w:p>
        </w:tc>
        <w:tc>
          <w:tcPr>
            <w:tcW w:w="955"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萤石（普通）</w:t>
            </w:r>
          </w:p>
        </w:tc>
        <w:tc>
          <w:tcPr>
            <w:tcW w:w="2509"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190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元/吨•矿石</w:t>
            </w:r>
          </w:p>
        </w:tc>
        <w:tc>
          <w:tcPr>
            <w:tcW w:w="2880"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13</w:t>
            </w:r>
          </w:p>
        </w:tc>
        <w:tc>
          <w:tcPr>
            <w:tcW w:w="955"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石灰岩</w:t>
            </w:r>
          </w:p>
        </w:tc>
        <w:tc>
          <w:tcPr>
            <w:tcW w:w="2509" w:type="dxa"/>
            <w:vAlign w:val="center"/>
          </w:tcPr>
          <w:p>
            <w:pPr>
              <w:widowControl/>
              <w:adjustRightInd w:val="0"/>
              <w:snapToGrid w:val="0"/>
              <w:spacing w:line="400" w:lineRule="exact"/>
              <w:jc w:val="lef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电石用、化肥用、熔剂用、玻璃用、制灰用、水泥用</w:t>
            </w:r>
          </w:p>
        </w:tc>
        <w:tc>
          <w:tcPr>
            <w:tcW w:w="190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元/吨•矿石</w:t>
            </w:r>
          </w:p>
        </w:tc>
        <w:tc>
          <w:tcPr>
            <w:tcW w:w="1072"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3.20</w:t>
            </w:r>
          </w:p>
        </w:tc>
        <w:tc>
          <w:tcPr>
            <w:tcW w:w="886"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2.60</w:t>
            </w:r>
          </w:p>
        </w:tc>
        <w:tc>
          <w:tcPr>
            <w:tcW w:w="922"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955"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2509"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饰面用</w:t>
            </w:r>
          </w:p>
        </w:tc>
        <w:tc>
          <w:tcPr>
            <w:tcW w:w="190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元/立方米•矿石</w:t>
            </w:r>
          </w:p>
        </w:tc>
        <w:tc>
          <w:tcPr>
            <w:tcW w:w="2880"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14</w:t>
            </w:r>
          </w:p>
        </w:tc>
        <w:tc>
          <w:tcPr>
            <w:tcW w:w="955"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白云岩</w:t>
            </w:r>
          </w:p>
        </w:tc>
        <w:tc>
          <w:tcPr>
            <w:tcW w:w="2509"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冶金用、化肥用、玻璃用</w:t>
            </w:r>
          </w:p>
        </w:tc>
        <w:tc>
          <w:tcPr>
            <w:tcW w:w="190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元/吨•矿石</w:t>
            </w:r>
          </w:p>
        </w:tc>
        <w:tc>
          <w:tcPr>
            <w:tcW w:w="1072"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2.60</w:t>
            </w:r>
          </w:p>
        </w:tc>
        <w:tc>
          <w:tcPr>
            <w:tcW w:w="886"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2.20</w:t>
            </w:r>
          </w:p>
        </w:tc>
        <w:tc>
          <w:tcPr>
            <w:tcW w:w="922"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955"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2509"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饰面用</w:t>
            </w:r>
          </w:p>
        </w:tc>
        <w:tc>
          <w:tcPr>
            <w:tcW w:w="190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元/立方米•矿石</w:t>
            </w:r>
          </w:p>
        </w:tc>
        <w:tc>
          <w:tcPr>
            <w:tcW w:w="2880"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15</w:t>
            </w:r>
          </w:p>
        </w:tc>
        <w:tc>
          <w:tcPr>
            <w:tcW w:w="955"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砂岩</w:t>
            </w:r>
          </w:p>
        </w:tc>
        <w:tc>
          <w:tcPr>
            <w:tcW w:w="2509" w:type="dxa"/>
            <w:vAlign w:val="center"/>
          </w:tcPr>
          <w:p>
            <w:pPr>
              <w:widowControl/>
              <w:adjustRightInd w:val="0"/>
              <w:snapToGrid w:val="0"/>
              <w:spacing w:line="4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冶金用、玻璃用、铸型用、陶瓷用、耐火用、水泥配料用</w:t>
            </w:r>
          </w:p>
        </w:tc>
        <w:tc>
          <w:tcPr>
            <w:tcW w:w="190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元/吨•矿石</w:t>
            </w:r>
          </w:p>
        </w:tc>
        <w:tc>
          <w:tcPr>
            <w:tcW w:w="1072"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2.60</w:t>
            </w:r>
          </w:p>
        </w:tc>
        <w:tc>
          <w:tcPr>
            <w:tcW w:w="886"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2.20</w:t>
            </w:r>
          </w:p>
        </w:tc>
        <w:tc>
          <w:tcPr>
            <w:tcW w:w="922"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955"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2509"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饰面用</w:t>
            </w:r>
          </w:p>
        </w:tc>
        <w:tc>
          <w:tcPr>
            <w:tcW w:w="190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元/立方米•矿石</w:t>
            </w:r>
          </w:p>
        </w:tc>
        <w:tc>
          <w:tcPr>
            <w:tcW w:w="2880"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16</w:t>
            </w:r>
          </w:p>
        </w:tc>
        <w:tc>
          <w:tcPr>
            <w:tcW w:w="955"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页岩</w:t>
            </w:r>
          </w:p>
        </w:tc>
        <w:tc>
          <w:tcPr>
            <w:tcW w:w="2509"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陶粒用</w:t>
            </w:r>
          </w:p>
        </w:tc>
        <w:tc>
          <w:tcPr>
            <w:tcW w:w="190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元/吨•矿石</w:t>
            </w:r>
          </w:p>
        </w:tc>
        <w:tc>
          <w:tcPr>
            <w:tcW w:w="2880"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955"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2509"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水泥配料用</w:t>
            </w:r>
          </w:p>
        </w:tc>
        <w:tc>
          <w:tcPr>
            <w:tcW w:w="190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元/吨•矿石</w:t>
            </w:r>
          </w:p>
        </w:tc>
        <w:tc>
          <w:tcPr>
            <w:tcW w:w="2880"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17</w:t>
            </w:r>
          </w:p>
        </w:tc>
        <w:tc>
          <w:tcPr>
            <w:tcW w:w="955"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高岭土</w:t>
            </w:r>
          </w:p>
        </w:tc>
        <w:tc>
          <w:tcPr>
            <w:tcW w:w="2509"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190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元/吨•矿石</w:t>
            </w:r>
          </w:p>
        </w:tc>
        <w:tc>
          <w:tcPr>
            <w:tcW w:w="2880"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18</w:t>
            </w:r>
          </w:p>
        </w:tc>
        <w:tc>
          <w:tcPr>
            <w:tcW w:w="955"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陶瓷土</w:t>
            </w:r>
          </w:p>
        </w:tc>
        <w:tc>
          <w:tcPr>
            <w:tcW w:w="2509"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190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元/吨•矿石</w:t>
            </w:r>
          </w:p>
        </w:tc>
        <w:tc>
          <w:tcPr>
            <w:tcW w:w="2880"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19</w:t>
            </w:r>
          </w:p>
        </w:tc>
        <w:tc>
          <w:tcPr>
            <w:tcW w:w="955"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粘土</w:t>
            </w:r>
          </w:p>
        </w:tc>
        <w:tc>
          <w:tcPr>
            <w:tcW w:w="2509" w:type="dxa"/>
            <w:vAlign w:val="center"/>
          </w:tcPr>
          <w:p>
            <w:pPr>
              <w:widowControl/>
              <w:adjustRightInd w:val="0"/>
              <w:snapToGrid w:val="0"/>
              <w:spacing w:line="400" w:lineRule="exact"/>
              <w:jc w:val="lef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耐火粘土、凹凸棒石粘土、海泡石粘土、伊利石粘土、保温材料粘土</w:t>
            </w:r>
          </w:p>
        </w:tc>
        <w:tc>
          <w:tcPr>
            <w:tcW w:w="190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元/吨•矿石</w:t>
            </w:r>
          </w:p>
        </w:tc>
        <w:tc>
          <w:tcPr>
            <w:tcW w:w="2880"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20</w:t>
            </w:r>
          </w:p>
        </w:tc>
        <w:tc>
          <w:tcPr>
            <w:tcW w:w="955"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岩盐</w:t>
            </w:r>
          </w:p>
        </w:tc>
        <w:tc>
          <w:tcPr>
            <w:tcW w:w="2509"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w:t>
            </w:r>
          </w:p>
        </w:tc>
        <w:tc>
          <w:tcPr>
            <w:tcW w:w="1904"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元/吨•矿石</w:t>
            </w:r>
          </w:p>
        </w:tc>
        <w:tc>
          <w:tcPr>
            <w:tcW w:w="2880" w:type="dxa"/>
            <w:gridSpan w:val="3"/>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0.60</w:t>
            </w:r>
          </w:p>
        </w:tc>
      </w:tr>
    </w:tbl>
    <w:p>
      <w:pPr>
        <w:widowControl/>
        <w:adjustRightInd w:val="0"/>
        <w:snapToGrid w:val="0"/>
        <w:spacing w:line="60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kern w:val="0"/>
          <w:szCs w:val="21"/>
        </w:rPr>
        <w:t>备注：本表中的矿产资源包含查明矿产资源和潜在矿产资源</w:t>
      </w:r>
    </w:p>
    <w:p>
      <w:pPr>
        <w:adjustRightInd w:val="0"/>
        <w:snapToGrid w:val="0"/>
        <w:spacing w:line="580" w:lineRule="exact"/>
        <w:ind w:firstLine="640" w:firstLineChars="200"/>
        <w:rPr>
          <w:rFonts w:hint="default" w:ascii="Times New Roman" w:hAnsi="Times New Roman" w:eastAsia="方正仿宋_GBK" w:cs="Times New Roman"/>
          <w:sz w:val="32"/>
          <w:szCs w:val="32"/>
        </w:rPr>
      </w:pPr>
    </w:p>
    <w:p>
      <w:pPr>
        <w:adjustRightInd w:val="0"/>
        <w:snapToGrid w:val="0"/>
        <w:spacing w:line="580" w:lineRule="exact"/>
        <w:ind w:firstLine="640" w:firstLineChars="200"/>
        <w:rPr>
          <w:rFonts w:hint="default" w:ascii="Times New Roman" w:hAnsi="Times New Roman" w:eastAsia="方正仿宋_GBK" w:cs="Times New Roman"/>
          <w:sz w:val="32"/>
          <w:szCs w:val="32"/>
        </w:rPr>
      </w:pPr>
    </w:p>
    <w:p>
      <w:pPr>
        <w:pStyle w:val="3"/>
        <w:keepNext w:val="0"/>
        <w:keepLines w:val="0"/>
        <w:snapToGrid w:val="0"/>
        <w:spacing w:before="0" w:after="0" w:line="600" w:lineRule="exact"/>
        <w:rPr>
          <w:rFonts w:hint="default" w:ascii="Times New Roman" w:hAnsi="Times New Roman" w:eastAsia="方正黑体_GBK" w:cs="Times New Roman"/>
          <w:b w:val="0"/>
        </w:rPr>
      </w:pPr>
    </w:p>
    <w:p>
      <w:pPr>
        <w:pStyle w:val="3"/>
        <w:keepNext w:val="0"/>
        <w:keepLines w:val="0"/>
        <w:snapToGrid w:val="0"/>
        <w:spacing w:before="0" w:after="0" w:line="600" w:lineRule="exact"/>
        <w:rPr>
          <w:rFonts w:hint="default" w:ascii="Times New Roman" w:hAnsi="Times New Roman" w:eastAsia="方正黑体_GBK" w:cs="Times New Roman"/>
          <w:b w:val="0"/>
        </w:rPr>
      </w:pPr>
      <w:r>
        <w:rPr>
          <w:rFonts w:hint="default" w:ascii="Times New Roman" w:hAnsi="Times New Roman" w:eastAsia="方正黑体_GBK" w:cs="Times New Roman"/>
          <w:b w:val="0"/>
        </w:rPr>
        <w:t>表3</w:t>
      </w:r>
    </w:p>
    <w:p>
      <w:pPr>
        <w:pStyle w:val="3"/>
        <w:keepNext w:val="0"/>
        <w:keepLines w:val="0"/>
        <w:snapToGrid w:val="0"/>
        <w:spacing w:before="0" w:after="0" w:line="600" w:lineRule="exact"/>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探矿权出让基准价</w:t>
      </w:r>
    </w:p>
    <w:p>
      <w:pPr>
        <w:pStyle w:val="3"/>
        <w:keepNext w:val="0"/>
        <w:keepLines w:val="0"/>
        <w:snapToGrid w:val="0"/>
        <w:spacing w:before="0" w:after="0" w:line="600" w:lineRule="exact"/>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（液体矿产）</w:t>
      </w:r>
    </w:p>
    <w:p>
      <w:pPr>
        <w:rPr>
          <w:rFonts w:hint="default" w:ascii="Times New Roman" w:hAnsi="Times New Roman" w:cs="Times New Roman"/>
        </w:rPr>
      </w:pPr>
    </w:p>
    <w:tbl>
      <w:tblPr>
        <w:tblStyle w:val="11"/>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0"/>
        <w:gridCol w:w="3020"/>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20" w:type="dxa"/>
            <w:vMerge w:val="restart"/>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矿种</w:t>
            </w:r>
          </w:p>
        </w:tc>
        <w:tc>
          <w:tcPr>
            <w:tcW w:w="6040" w:type="dxa"/>
            <w:gridSpan w:val="2"/>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单位基准价（万元/宗）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20" w:type="dxa"/>
            <w:vMerge w:val="continue"/>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p>
        </w:tc>
        <w:tc>
          <w:tcPr>
            <w:tcW w:w="3020"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主城都市区</w:t>
            </w:r>
          </w:p>
        </w:tc>
        <w:tc>
          <w:tcPr>
            <w:tcW w:w="3020"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渝东北、渝东南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20"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地热（沉积地层型）</w:t>
            </w:r>
          </w:p>
        </w:tc>
        <w:tc>
          <w:tcPr>
            <w:tcW w:w="3020"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300</w:t>
            </w:r>
          </w:p>
        </w:tc>
        <w:tc>
          <w:tcPr>
            <w:tcW w:w="3020"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20" w:type="dxa"/>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矿泉水</w:t>
            </w:r>
          </w:p>
        </w:tc>
        <w:tc>
          <w:tcPr>
            <w:tcW w:w="6040" w:type="dxa"/>
            <w:gridSpan w:val="2"/>
            <w:vAlign w:val="center"/>
          </w:tcPr>
          <w:p>
            <w:pPr>
              <w:widowControl/>
              <w:adjustRightInd w:val="0"/>
              <w:snapToGrid w:val="0"/>
              <w:spacing w:line="6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80</w:t>
            </w:r>
          </w:p>
        </w:tc>
      </w:tr>
    </w:tbl>
    <w:p>
      <w:pPr>
        <w:widowControl/>
        <w:adjustRightInd w:val="0"/>
        <w:snapToGrid w:val="0"/>
        <w:spacing w:line="600" w:lineRule="exact"/>
        <w:jc w:val="lef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备注：本表中单位基准价按照单宗不超过5平方公里、成井一口、探采合计年限15年测算</w:t>
      </w:r>
    </w:p>
    <w:p>
      <w:pPr>
        <w:snapToGrid w:val="0"/>
        <w:spacing w:line="600" w:lineRule="exact"/>
        <w:rPr>
          <w:rFonts w:hint="default" w:ascii="Times New Roman" w:hAnsi="Times New Roman" w:eastAsia="方正仿宋_GBK" w:cs="Times New Roman"/>
          <w:szCs w:val="21"/>
        </w:rPr>
      </w:pPr>
    </w:p>
    <w:p>
      <w:pPr>
        <w:pStyle w:val="2"/>
        <w:rPr>
          <w:rFonts w:hint="default"/>
        </w:rPr>
      </w:pPr>
    </w:p>
    <w:p>
      <w:pPr>
        <w:tabs>
          <w:tab w:val="left" w:pos="7104"/>
        </w:tabs>
        <w:rPr>
          <w:rFonts w:hint="eastAsia" w:eastAsiaTheme="minorEastAsia"/>
          <w:lang w:eastAsia="zh-CN"/>
        </w:rPr>
      </w:pPr>
      <w:r>
        <w:rPr>
          <w:rFonts w:hint="eastAsia"/>
          <w:lang w:eastAsia="zh-CN"/>
        </w:rPr>
        <w:tab/>
      </w:r>
    </w:p>
    <w:p>
      <w:pPr>
        <w:pStyle w:val="2"/>
        <w:tabs>
          <w:tab w:val="left" w:pos="4779"/>
        </w:tabs>
        <w:rPr>
          <w:rFonts w:hint="eastAsia" w:eastAsiaTheme="minorEastAsia"/>
          <w:lang w:eastAsia="zh-CN"/>
        </w:rPr>
      </w:pPr>
      <w:r>
        <w:rPr>
          <w:rFonts w:hint="eastAsia"/>
          <w:lang w:eastAsia="zh-CN"/>
        </w:rPr>
        <w:tab/>
      </w:r>
    </w:p>
    <w:p>
      <w:pPr>
        <w:snapToGrid w:val="0"/>
        <w:spacing w:line="540" w:lineRule="exact"/>
        <w:jc w:val="center"/>
        <w:rPr>
          <w:rFonts w:hint="default" w:ascii="Times New Roman" w:hAnsi="Times New Roman" w:eastAsia="方正小标宋_GBK" w:cs="Times New Roman"/>
          <w:sz w:val="44"/>
          <w:szCs w:val="44"/>
        </w:rPr>
      </w:pPr>
    </w:p>
    <w:p>
      <w:pPr>
        <w:adjustRightInd w:val="0"/>
        <w:snapToGrid w:val="0"/>
        <w:spacing w:line="580" w:lineRule="exact"/>
        <w:ind w:firstLine="640" w:firstLineChars="200"/>
        <w:rPr>
          <w:rFonts w:hint="default" w:ascii="Times New Roman" w:hAnsi="Times New Roman" w:eastAsia="方正仿宋_GBK" w:cs="Times New Roman"/>
          <w:sz w:val="32"/>
          <w:szCs w:val="32"/>
        </w:rPr>
      </w:pPr>
    </w:p>
    <w:p>
      <w:pPr>
        <w:adjustRightInd w:val="0"/>
        <w:snapToGrid w:val="0"/>
        <w:spacing w:line="580" w:lineRule="exact"/>
        <w:ind w:firstLine="640" w:firstLineChars="200"/>
        <w:rPr>
          <w:rFonts w:hint="default" w:ascii="Times New Roman" w:hAnsi="Times New Roman" w:eastAsia="方正仿宋_GBK" w:cs="Times New Roman"/>
          <w:sz w:val="32"/>
          <w:szCs w:val="32"/>
        </w:rPr>
      </w:pPr>
    </w:p>
    <w:p>
      <w:pPr>
        <w:adjustRightInd w:val="0"/>
        <w:snapToGrid w:val="0"/>
        <w:spacing w:line="580" w:lineRule="exact"/>
        <w:ind w:firstLine="640" w:firstLineChars="200"/>
        <w:rPr>
          <w:rFonts w:hint="default" w:ascii="Times New Roman" w:hAnsi="Times New Roman" w:eastAsia="方正仿宋_GBK" w:cs="Times New Roman"/>
          <w:sz w:val="32"/>
          <w:szCs w:val="32"/>
        </w:rPr>
      </w:pPr>
    </w:p>
    <w:p>
      <w:pPr>
        <w:adjustRightInd w:val="0"/>
        <w:snapToGrid w:val="0"/>
        <w:spacing w:line="580" w:lineRule="exact"/>
        <w:ind w:firstLine="640" w:firstLineChars="200"/>
        <w:rPr>
          <w:rFonts w:hint="default" w:ascii="Times New Roman" w:hAnsi="Times New Roman" w:eastAsia="方正仿宋_GBK" w:cs="Times New Roman"/>
          <w:sz w:val="32"/>
          <w:szCs w:val="32"/>
        </w:rPr>
      </w:pPr>
    </w:p>
    <w:p>
      <w:pPr>
        <w:adjustRightInd w:val="0"/>
        <w:snapToGrid w:val="0"/>
        <w:spacing w:line="580" w:lineRule="exact"/>
        <w:ind w:firstLine="640" w:firstLineChars="200"/>
        <w:rPr>
          <w:rFonts w:hint="default" w:ascii="Times New Roman" w:hAnsi="Times New Roman" w:eastAsia="方正仿宋_GBK" w:cs="Times New Roman"/>
          <w:sz w:val="32"/>
          <w:szCs w:val="32"/>
        </w:rPr>
      </w:pP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《重庆市矿业权出让基准价（2020年版）》</w:t>
      </w: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使用说明</w:t>
      </w:r>
    </w:p>
    <w:p>
      <w:pPr>
        <w:spacing w:line="600" w:lineRule="exact"/>
        <w:ind w:firstLine="640" w:firstLineChars="200"/>
        <w:rPr>
          <w:rFonts w:hint="default" w:ascii="Times New Roman" w:hAnsi="Times New Roman" w:eastAsia="方正仿宋_GBK" w:cs="Times New Roman"/>
          <w:sz w:val="32"/>
          <w:szCs w:val="32"/>
        </w:rPr>
      </w:pP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一、</w:t>
      </w:r>
      <w:r>
        <w:rPr>
          <w:rFonts w:hint="default" w:ascii="Times New Roman" w:hAnsi="Times New Roman" w:eastAsia="方正仿宋_GBK" w:cs="Times New Roman"/>
          <w:sz w:val="32"/>
          <w:szCs w:val="32"/>
        </w:rPr>
        <w:t>本基准价适用于本市行政区域内非油气、非放射性矿业权出让登记的有偿处置。</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二、</w:t>
      </w:r>
      <w:r>
        <w:rPr>
          <w:rFonts w:hint="default" w:ascii="Times New Roman" w:hAnsi="Times New Roman" w:eastAsia="方正仿宋_GBK" w:cs="Times New Roman"/>
          <w:sz w:val="32"/>
          <w:szCs w:val="32"/>
        </w:rPr>
        <w:t>以招标、拍卖、挂牌等竞争方式出让矿业权的，矿业权出让收益起始价不得低于矿业权出让基准价，矿业权出让收益按招标、拍卖、挂牌的结果确定；以协议方式出让矿业权的，矿业权出让收益按照评估价值、出让基准价就高确定。</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三、</w:t>
      </w:r>
      <w:r>
        <w:rPr>
          <w:rFonts w:hint="default" w:ascii="Times New Roman" w:hAnsi="Times New Roman" w:eastAsia="方正仿宋_GBK" w:cs="Times New Roman"/>
          <w:sz w:val="32"/>
          <w:szCs w:val="32"/>
        </w:rPr>
        <w:t>矿业权出让基准价测算公式：（一）固体矿产采矿权出让基准价=对应矿种采矿权基准价单价×拟出让采矿权矿区范围内资源量；（二）地热、矿泉水采矿权出让基准价=地热、矿泉水采矿权基准价单价×允许开采量（立方米/日）×出让年限（日数）；（三）固体矿产探矿权出让基准价=对应矿种探矿权基准价单价×拟出让探矿权范围内矿产资源。</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四、</w:t>
      </w:r>
      <w:r>
        <w:rPr>
          <w:rFonts w:hint="default" w:ascii="Times New Roman" w:hAnsi="Times New Roman" w:eastAsia="方正仿宋_GBK" w:cs="Times New Roman"/>
          <w:sz w:val="32"/>
          <w:szCs w:val="32"/>
        </w:rPr>
        <w:t>共伴生矿种，已发布基准价的，以矿区范围内资源量为准；未发布基准价的，以矿区范围内储量为准。</w:t>
      </w:r>
    </w:p>
    <w:p>
      <w:pPr>
        <w:keepNext w:val="0"/>
        <w:keepLines w:val="0"/>
        <w:pageBreakBefore w:val="0"/>
        <w:kinsoku/>
        <w:overflowPunct/>
        <w:topLinePunct w:val="0"/>
        <w:bidi w:val="0"/>
        <w:spacing w:line="580" w:lineRule="exact"/>
        <w:ind w:left="0" w:leftChars="0" w:right="0" w:rightChars="0" w:firstLine="960" w:firstLineChars="3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default" w:ascii="Times New Roman" w:hAnsi="Times New Roman" w:eastAsia="方正黑体_GBK" w:cs="Times New Roman"/>
          <w:sz w:val="32"/>
          <w:szCs w:val="32"/>
        </w:rPr>
        <w:t>五、</w:t>
      </w:r>
      <w:r>
        <w:rPr>
          <w:rFonts w:hint="default" w:ascii="Times New Roman" w:hAnsi="Times New Roman" w:eastAsia="方正仿宋_GBK" w:cs="Times New Roman"/>
          <w:sz w:val="32"/>
          <w:szCs w:val="32"/>
        </w:rPr>
        <w:t>《重庆市矿业权出让基准价（2020年版）》中未列矿种</w:t>
      </w:r>
      <w:r>
        <w:rPr>
          <w:rFonts w:hint="default" w:ascii="Times New Roman" w:hAnsi="Times New Roman" w:eastAsia="方正仿宋_GBK" w:cs="Times New Roman"/>
          <w:spacing w:val="-6"/>
          <w:sz w:val="32"/>
          <w:szCs w:val="32"/>
        </w:rPr>
        <w:t>的出让基准价，参照与该矿种工业用途相似矿种的出让基准价执行。</w:t>
      </w: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137160</wp:posOffset>
              </wp:positionV>
              <wp:extent cx="5144135" cy="0"/>
              <wp:effectExtent l="0" t="10795" r="18415" b="17780"/>
              <wp:wrapNone/>
              <wp:docPr id="11" name="直接连接符 11"/>
              <wp:cNvGraphicFramePr/>
              <a:graphic xmlns:a="http://schemas.openxmlformats.org/drawingml/2006/main">
                <a:graphicData uri="http://schemas.microsoft.com/office/word/2010/wordprocessingShape">
                  <wps:wsp>
                    <wps:cNvCnPr/>
                    <wps:spPr>
                      <a:xfrm>
                        <a:off x="0" y="0"/>
                        <a:ext cx="514413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3pt;margin-top:10.8pt;height:0pt;width:405.05pt;z-index:251659264;mso-width-relative:page;mso-height-relative:page;" filled="f" stroked="t" coordsize="21600,21600" o:gfxdata="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Fi20hdIAAAAHAQAADwAAAAAAAAABACAAAAAiAAAAZHJzL2Rvd25y&#10;ZXYueG1sUEsBAhQAFAAAAAgAh07iQD+uLeHLAQAAZgMAAA4AAAAAAAAAAQAgAAAAIQEAAGRycy9l&#10;Mm9Eb2MueG1sUEsFBgAAAAAGAAYAWQEAAF4FAAAAAA==&#10;">
              <v:fill on="f" focussize="0,0"/>
              <v:stroke weight="1.75pt" color="#005192 [3204]" miterlimit="8" joinstyle="miter"/>
              <v:imagedata o:title=""/>
              <o:lock v:ext="edit" aspectratio="f"/>
            </v:lin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规划和自然资源局</w:t>
    </w:r>
    <w:r>
      <w:rPr>
        <w:rFonts w:hint="eastAsia" w:ascii="宋体" w:hAnsi="宋体" w:eastAsia="宋体" w:cs="宋体"/>
        <w:b/>
        <w:bCs/>
        <w:color w:val="005192"/>
        <w:sz w:val="28"/>
        <w:szCs w:val="44"/>
        <w:lang w:val="en-US" w:eastAsia="zh-CN"/>
      </w:rPr>
      <w:t xml:space="preserve">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规划和自然资源局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71755</wp:posOffset>
              </wp:positionV>
              <wp:extent cx="5130800" cy="8255"/>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130800" cy="825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5.65pt;height:0.65pt;width:404pt;z-index:251661312;mso-width-relative:page;mso-height-relative:page;" filled="f" stroked="t" coordsize="21600,21600" o:gfxdata="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QVQNwdUAAAAGAQAADwAAAAAAAAABACAAAAAi&#10;AAAAZHJzL2Rvd25yZXYueG1sUEsBAhQAFAAAAAgAh07iQOM6pZTUAQAAcQMAAA4AAAAAAAAAAQAg&#10;AAAAJAEAAGRycy9lMm9Eb2MueG1sUEsFBgAAAAAGAAYAWQEAAGoFAAAAAA==&#10;">
              <v:fill on="f" focussize="0,0"/>
              <v:stroke weight="1.75pt" color="#005192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4MjQ1NWNiZjRlZGFmN2JjNGRhOTM0MGE5NmZhNzAifQ=="/>
  </w:docVars>
  <w:rsids>
    <w:rsidRoot w:val="00172A27"/>
    <w:rsid w:val="00147A43"/>
    <w:rsid w:val="010A2F9E"/>
    <w:rsid w:val="019E71BD"/>
    <w:rsid w:val="01E93D58"/>
    <w:rsid w:val="0281437C"/>
    <w:rsid w:val="04B679C3"/>
    <w:rsid w:val="05F07036"/>
    <w:rsid w:val="06E00104"/>
    <w:rsid w:val="080F63D8"/>
    <w:rsid w:val="08357920"/>
    <w:rsid w:val="09341458"/>
    <w:rsid w:val="098254C2"/>
    <w:rsid w:val="0A766EDE"/>
    <w:rsid w:val="0AD64BE8"/>
    <w:rsid w:val="0B0912D7"/>
    <w:rsid w:val="0E025194"/>
    <w:rsid w:val="0EEF0855"/>
    <w:rsid w:val="0F017ABD"/>
    <w:rsid w:val="0F782CBA"/>
    <w:rsid w:val="0FB31343"/>
    <w:rsid w:val="11DB7C71"/>
    <w:rsid w:val="13842544"/>
    <w:rsid w:val="146A155A"/>
    <w:rsid w:val="152D2DCA"/>
    <w:rsid w:val="187168EA"/>
    <w:rsid w:val="196673CA"/>
    <w:rsid w:val="1CF734C9"/>
    <w:rsid w:val="1DEC284C"/>
    <w:rsid w:val="1E6523AC"/>
    <w:rsid w:val="21947EE0"/>
    <w:rsid w:val="22440422"/>
    <w:rsid w:val="22BB4BBB"/>
    <w:rsid w:val="250F007B"/>
    <w:rsid w:val="252A5D01"/>
    <w:rsid w:val="25EB1AF4"/>
    <w:rsid w:val="26667959"/>
    <w:rsid w:val="28B16A8E"/>
    <w:rsid w:val="2BD85E98"/>
    <w:rsid w:val="2CC1059D"/>
    <w:rsid w:val="2DD05FE1"/>
    <w:rsid w:val="2EAE3447"/>
    <w:rsid w:val="2FDD1FA0"/>
    <w:rsid w:val="31A15F24"/>
    <w:rsid w:val="3309317A"/>
    <w:rsid w:val="34361A43"/>
    <w:rsid w:val="36FB1DF0"/>
    <w:rsid w:val="395347B5"/>
    <w:rsid w:val="39A232A0"/>
    <w:rsid w:val="39E745AA"/>
    <w:rsid w:val="3B5572EF"/>
    <w:rsid w:val="3B5A6BBB"/>
    <w:rsid w:val="3CA154E3"/>
    <w:rsid w:val="3CEF7033"/>
    <w:rsid w:val="3EDA13A6"/>
    <w:rsid w:val="3FF56C14"/>
    <w:rsid w:val="403D3821"/>
    <w:rsid w:val="417B75E9"/>
    <w:rsid w:val="42430A63"/>
    <w:rsid w:val="42F058B7"/>
    <w:rsid w:val="436109F6"/>
    <w:rsid w:val="4388249F"/>
    <w:rsid w:val="441A38D4"/>
    <w:rsid w:val="4504239D"/>
    <w:rsid w:val="4729552B"/>
    <w:rsid w:val="481E75AD"/>
    <w:rsid w:val="4BC77339"/>
    <w:rsid w:val="4C9236C5"/>
    <w:rsid w:val="4E250A85"/>
    <w:rsid w:val="4FEF254B"/>
    <w:rsid w:val="4FFD4925"/>
    <w:rsid w:val="500509E0"/>
    <w:rsid w:val="505C172E"/>
    <w:rsid w:val="506405EA"/>
    <w:rsid w:val="521B453A"/>
    <w:rsid w:val="52F46F0B"/>
    <w:rsid w:val="530E7DAF"/>
    <w:rsid w:val="53140A67"/>
    <w:rsid w:val="53231B46"/>
    <w:rsid w:val="532B6A10"/>
    <w:rsid w:val="539E4E99"/>
    <w:rsid w:val="53D8014D"/>
    <w:rsid w:val="54AA73E3"/>
    <w:rsid w:val="550C209A"/>
    <w:rsid w:val="55E064E0"/>
    <w:rsid w:val="572C6D10"/>
    <w:rsid w:val="57A812F6"/>
    <w:rsid w:val="584C7403"/>
    <w:rsid w:val="5C321B5D"/>
    <w:rsid w:val="5DC34279"/>
    <w:rsid w:val="5FCD688E"/>
    <w:rsid w:val="5FF9BDAA"/>
    <w:rsid w:val="608816D1"/>
    <w:rsid w:val="60EF4E7F"/>
    <w:rsid w:val="643A3F71"/>
    <w:rsid w:val="648B0A32"/>
    <w:rsid w:val="658F6764"/>
    <w:rsid w:val="65EA749B"/>
    <w:rsid w:val="665233C1"/>
    <w:rsid w:val="69744260"/>
    <w:rsid w:val="69AC0D42"/>
    <w:rsid w:val="69C46BD0"/>
    <w:rsid w:val="6AD9688B"/>
    <w:rsid w:val="6B68303F"/>
    <w:rsid w:val="6C147A10"/>
    <w:rsid w:val="6CFE0643"/>
    <w:rsid w:val="6D0E3F22"/>
    <w:rsid w:val="6FDE0477"/>
    <w:rsid w:val="744E4660"/>
    <w:rsid w:val="753355A2"/>
    <w:rsid w:val="759F1C61"/>
    <w:rsid w:val="769F2DE8"/>
    <w:rsid w:val="76FDEB7C"/>
    <w:rsid w:val="77496964"/>
    <w:rsid w:val="79C65162"/>
    <w:rsid w:val="79EA5686"/>
    <w:rsid w:val="79EE7E31"/>
    <w:rsid w:val="7B3D7912"/>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9"/>
    <w:pPr>
      <w:keepNext/>
      <w:keepLines/>
      <w:spacing w:before="260" w:after="260" w:line="416" w:lineRule="auto"/>
      <w:outlineLvl w:val="1"/>
    </w:pPr>
    <w:rPr>
      <w:rFonts w:ascii="Cambria" w:hAnsi="Cambria"/>
      <w:b/>
      <w:bCs/>
      <w:sz w:val="32"/>
      <w:szCs w:val="32"/>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列出段落1"/>
    <w:qFormat/>
    <w:uiPriority w:val="34"/>
    <w:pPr>
      <w:widowControl w:val="0"/>
      <w:ind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2200</Words>
  <Characters>2686</Characters>
  <Lines>1</Lines>
  <Paragraphs>1</Paragraphs>
  <TotalTime>2</TotalTime>
  <ScaleCrop>false</ScaleCrop>
  <LinksUpToDate>false</LinksUpToDate>
  <CharactersWithSpaces>2688</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叶兴明</cp:lastModifiedBy>
  <cp:lastPrinted>2022-06-07T00:09:00Z</cp:lastPrinted>
  <dcterms:modified xsi:type="dcterms:W3CDTF">2022-06-15T02:35:42Z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6F378553804F44008689EDAF1F8CB84C</vt:lpwstr>
  </property>
</Properties>
</file>