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031A">
      <w:pPr>
        <w:spacing w:line="600" w:lineRule="exact"/>
        <w:jc w:val="center"/>
        <w:rPr>
          <w:rFonts w:ascii="Times New Roman" w:hAnsi="Times New Roman" w:eastAsia="方正小标宋_GBK" w:cs="Times New Roman"/>
          <w:snapToGrid w:val="0"/>
          <w:color w:val="FF0000"/>
          <w:spacing w:val="0"/>
          <w:w w:val="100"/>
          <w:kern w:val="0"/>
          <w:sz w:val="44"/>
          <w:szCs w:val="44"/>
        </w:rPr>
      </w:pPr>
    </w:p>
    <w:p w14:paraId="6BE739C3">
      <w:pPr>
        <w:snapToGrid w:val="0"/>
        <w:spacing w:line="600" w:lineRule="exact"/>
        <w:jc w:val="center"/>
        <w:rPr>
          <w:rFonts w:ascii="Times New Roman" w:hAnsi="Times New Roman" w:eastAsia="方正小标宋_GBK" w:cs="Times New Roman"/>
          <w:snapToGrid w:val="0"/>
          <w:color w:val="FF0000"/>
          <w:spacing w:val="0"/>
          <w:w w:val="100"/>
          <w:kern w:val="0"/>
          <w:sz w:val="44"/>
          <w:szCs w:val="44"/>
        </w:rPr>
      </w:pPr>
    </w:p>
    <w:p w14:paraId="60769422">
      <w:pPr>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14:paraId="617A512F">
      <w:pPr>
        <w:snapToGrid w:val="0"/>
        <w:spacing w:line="60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w:t>
      </w:r>
      <w:r>
        <w:rPr>
          <w:rFonts w:hint="eastAsia" w:ascii="Times New Roman" w:hAnsi="Times New Roman" w:eastAsia="方正小标宋_GBK" w:cs="Times New Roman"/>
          <w:sz w:val="44"/>
          <w:szCs w:val="44"/>
          <w:lang w:eastAsia="zh-CN"/>
        </w:rPr>
        <w:t>一批</w:t>
      </w:r>
      <w:r>
        <w:rPr>
          <w:rFonts w:hint="default" w:ascii="Times New Roman" w:hAnsi="Times New Roman" w:eastAsia="方正小标宋_GBK" w:cs="Times New Roman"/>
          <w:sz w:val="44"/>
          <w:szCs w:val="44"/>
        </w:rPr>
        <w:t>局规范性文件的通知</w:t>
      </w:r>
    </w:p>
    <w:p w14:paraId="25087AE0">
      <w:pPr>
        <w:adjustRightInd w:val="0"/>
        <w:snapToGrid w:val="0"/>
        <w:spacing w:line="620" w:lineRule="atLeast"/>
        <w:jc w:val="center"/>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lang w:val="en-US" w:eastAsia="zh-CN"/>
        </w:rPr>
        <w:t>渝规资规范〔20</w:t>
      </w:r>
      <w:r>
        <w:rPr>
          <w:rFonts w:hint="eastAsia" w:ascii="Times New Roman" w:hAnsi="Times New Roman" w:eastAsia="方正仿宋_GBK" w:cs="Times New Roman"/>
          <w:b w:val="0"/>
          <w:bCs w:val="0"/>
          <w:color w:val="000000"/>
          <w:sz w:val="32"/>
          <w:szCs w:val="32"/>
          <w:lang w:val="en-US" w:eastAsia="zh-CN"/>
        </w:rPr>
        <w:t>24</w:t>
      </w:r>
      <w:r>
        <w:rPr>
          <w:rFonts w:hint="default" w:ascii="Times New Roman" w:hAnsi="Times New Roman"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7</w:t>
      </w:r>
      <w:r>
        <w:rPr>
          <w:rFonts w:hint="default" w:ascii="Times New Roman" w:hAnsi="Times New Roman" w:eastAsia="方正仿宋_GBK" w:cs="Times New Roman"/>
          <w:b w:val="0"/>
          <w:bCs w:val="0"/>
          <w:color w:val="000000"/>
          <w:sz w:val="32"/>
          <w:szCs w:val="32"/>
          <w:lang w:val="en-US" w:eastAsia="zh-CN"/>
        </w:rPr>
        <w:t>号</w:t>
      </w:r>
    </w:p>
    <w:p w14:paraId="7F0708AB">
      <w:pPr>
        <w:snapToGrid w:val="0"/>
        <w:spacing w:line="600" w:lineRule="exact"/>
        <w:jc w:val="left"/>
        <w:rPr>
          <w:rFonts w:ascii="Times New Roman" w:hAnsi="Times New Roman" w:eastAsia="方正仿宋_GBK" w:cs="Times New Roman"/>
          <w:sz w:val="32"/>
          <w:szCs w:val="32"/>
        </w:rPr>
      </w:pPr>
    </w:p>
    <w:p w14:paraId="5E5767C9">
      <w:pPr>
        <w:snapToGrid w:val="0"/>
        <w:spacing w:line="600" w:lineRule="exact"/>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各区县（自治县，含两江新区、西部科学城重庆高新区、万盛经开区）规划自然资源局，局属各单位，机关各处室：</w:t>
      </w:r>
    </w:p>
    <w:p w14:paraId="2CA0BC98">
      <w:pPr>
        <w:overflowPunct w:val="0"/>
        <w:snapToGrid w:val="0"/>
        <w:spacing w:line="600" w:lineRule="exact"/>
        <w:ind w:firstLine="640" w:firstLineChars="200"/>
        <w:rPr>
          <w:rFonts w:ascii="Times New Roman" w:hAnsi="Times New Roman" w:eastAsia="方正仿宋_GBK" w:cs="Times New Roman"/>
          <w:color w:val="0C0C0C"/>
          <w:sz w:val="32"/>
          <w:szCs w:val="32"/>
        </w:rPr>
      </w:pPr>
      <w:r>
        <w:rPr>
          <w:rFonts w:hint="default" w:ascii="Times New Roman" w:hAnsi="Times New Roman" w:eastAsia="方正仿宋_GBK" w:cs="Times New Roman"/>
          <w:color w:val="0C0C0C"/>
          <w:sz w:val="32"/>
          <w:szCs w:val="32"/>
        </w:rPr>
        <w:t>根据《重庆市行政规范性文件管理办法》（重庆市人民政府令第329号）</w:t>
      </w:r>
      <w:r>
        <w:rPr>
          <w:rFonts w:hint="eastAsia" w:ascii="Times New Roman" w:hAnsi="Times New Roman" w:eastAsia="方正仿宋_GBK" w:cs="Times New Roman"/>
          <w:color w:val="0C0C0C"/>
          <w:sz w:val="32"/>
          <w:szCs w:val="32"/>
          <w:lang w:eastAsia="zh-CN"/>
        </w:rPr>
        <w:t>的</w:t>
      </w:r>
      <w:r>
        <w:rPr>
          <w:rFonts w:hint="default" w:ascii="Times New Roman" w:hAnsi="Times New Roman" w:eastAsia="方正仿宋_GBK" w:cs="Times New Roman"/>
          <w:color w:val="0C0C0C"/>
          <w:sz w:val="32"/>
          <w:szCs w:val="32"/>
        </w:rPr>
        <w:t>规定，现决定将《</w:t>
      </w:r>
      <w:r>
        <w:rPr>
          <w:rFonts w:hint="default" w:ascii="Times New Roman" w:hAnsi="Times New Roman" w:eastAsia="方正仿宋_GBK" w:cs="Times New Roman"/>
          <w:color w:val="0C0C0C"/>
          <w:sz w:val="32"/>
          <w:szCs w:val="32"/>
          <w:lang w:val="en-US" w:eastAsia="zh-CN"/>
        </w:rPr>
        <w:t>重庆市规划和自然资源局关于进一步细化工业项目配套设施规划管理要求的通知</w:t>
      </w:r>
      <w:r>
        <w:rPr>
          <w:rFonts w:hint="default" w:ascii="Times New Roman" w:hAnsi="Times New Roman" w:eastAsia="方正仿宋_GBK" w:cs="Times New Roman"/>
          <w:color w:val="0C0C0C"/>
          <w:sz w:val="32"/>
          <w:szCs w:val="32"/>
        </w:rPr>
        <w:t>》等</w:t>
      </w:r>
      <w:r>
        <w:rPr>
          <w:rFonts w:hint="eastAsia" w:ascii="Times New Roman" w:hAnsi="Times New Roman" w:eastAsia="方正仿宋_GBK" w:cs="Times New Roman"/>
          <w:color w:val="0C0C0C"/>
          <w:sz w:val="32"/>
          <w:szCs w:val="32"/>
          <w:lang w:val="en-US" w:eastAsia="zh-CN"/>
        </w:rPr>
        <w:t>4</w:t>
      </w:r>
      <w:r>
        <w:rPr>
          <w:rFonts w:hint="default" w:ascii="Times New Roman" w:hAnsi="Times New Roman" w:eastAsia="方正仿宋_GBK" w:cs="Times New Roman"/>
          <w:color w:val="0C0C0C"/>
          <w:sz w:val="32"/>
          <w:szCs w:val="32"/>
        </w:rPr>
        <w:t>件局规范性文件予以废止。</w:t>
      </w:r>
    </w:p>
    <w:p w14:paraId="17A50A04">
      <w:pPr>
        <w:overflowPunct w:val="0"/>
        <w:snapToGrid w:val="0"/>
        <w:spacing w:line="60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lang w:val="en-US" w:eastAsia="zh-CN"/>
        </w:rPr>
        <w:t>印发之日</w:t>
      </w:r>
      <w:r>
        <w:rPr>
          <w:rFonts w:hint="default" w:ascii="Times New Roman" w:hAnsi="Times New Roman" w:eastAsia="方正仿宋_GBK" w:cs="Times New Roman"/>
          <w:sz w:val="32"/>
          <w:szCs w:val="32"/>
        </w:rPr>
        <w:t>起施行。</w:t>
      </w:r>
    </w:p>
    <w:p w14:paraId="60134EAA">
      <w:pPr>
        <w:overflowPunct w:val="0"/>
        <w:snapToGrid w:val="0"/>
        <w:spacing w:line="600" w:lineRule="exact"/>
        <w:ind w:firstLine="640" w:firstLineChars="200"/>
        <w:rPr>
          <w:rFonts w:hint="default" w:ascii="Times New Roman" w:hAnsi="Times New Roman" w:eastAsia="方正仿宋_GBK" w:cs="Times New Roman"/>
          <w:color w:val="0C0C0C"/>
          <w:sz w:val="32"/>
          <w:szCs w:val="32"/>
        </w:rPr>
      </w:pPr>
    </w:p>
    <w:p w14:paraId="782D8519">
      <w:pPr>
        <w:overflowPunct w:val="0"/>
        <w:snapToGrid w:val="0"/>
        <w:spacing w:line="600" w:lineRule="exact"/>
        <w:ind w:firstLine="640" w:firstLineChars="200"/>
        <w:jc w:val="left"/>
        <w:rPr>
          <w:rFonts w:ascii="Times New Roman" w:hAnsi="Times New Roman" w:eastAsia="方正仿宋_GBK" w:cs="Times New Roman"/>
          <w:color w:val="0C0C0C"/>
          <w:sz w:val="32"/>
          <w:szCs w:val="32"/>
        </w:rPr>
      </w:pPr>
      <w:r>
        <w:rPr>
          <w:rFonts w:hint="default" w:ascii="Times New Roman" w:hAnsi="Times New Roman" w:eastAsia="方正仿宋_GBK" w:cs="Times New Roman"/>
          <w:color w:val="0C0C0C"/>
          <w:sz w:val="32"/>
          <w:szCs w:val="32"/>
        </w:rPr>
        <w:t>附件：废止局规范性文件目录</w:t>
      </w:r>
    </w:p>
    <w:p w14:paraId="4F3E5B20">
      <w:pPr>
        <w:overflowPunct w:val="0"/>
        <w:snapToGrid w:val="0"/>
        <w:spacing w:line="600" w:lineRule="exact"/>
        <w:ind w:firstLine="640" w:firstLineChars="200"/>
        <w:rPr>
          <w:rFonts w:ascii="Times New Roman" w:hAnsi="Times New Roman" w:eastAsia="方正仿宋_GBK"/>
          <w:color w:val="0C0C0C"/>
          <w:sz w:val="32"/>
          <w:szCs w:val="32"/>
        </w:rPr>
      </w:pPr>
    </w:p>
    <w:p w14:paraId="782F74B1">
      <w:pPr>
        <w:snapToGrid w:val="0"/>
        <w:spacing w:line="600" w:lineRule="exact"/>
        <w:ind w:right="724" w:rightChars="345"/>
        <w:jc w:val="right"/>
        <w:rPr>
          <w:rFonts w:ascii="Times New Roman" w:hAnsi="Times New Roman" w:eastAsia="方正仿宋_GBK" w:cs="Times New Roman"/>
          <w:sz w:val="32"/>
          <w:szCs w:val="32"/>
        </w:rPr>
      </w:pPr>
      <w:r>
        <w:rPr>
          <w:rFonts w:hint="default" w:ascii="Times New Roman" w:hAnsi="Times New Roman" w:eastAsia="方正仿宋_GBK" w:cs="Times New Roman"/>
          <w:color w:val="0C0C0C"/>
          <w:sz w:val="32"/>
          <w:szCs w:val="32"/>
        </w:rPr>
        <w:t>重庆市规划和自然资源局</w:t>
      </w:r>
    </w:p>
    <w:p w14:paraId="016FDEF0">
      <w:pPr>
        <w:tabs>
          <w:tab w:val="left" w:pos="7980"/>
        </w:tabs>
        <w:snapToGrid w:val="0"/>
        <w:spacing w:line="600" w:lineRule="exact"/>
        <w:ind w:right="1033" w:rightChars="492"/>
        <w:jc w:val="right"/>
        <w:rPr>
          <w:rFonts w:ascii="Times New Roman" w:hAnsi="Times New Roman" w:eastAsia="方正仿宋_GBK" w:cs="Times New Roman"/>
          <w:color w:val="0C0C0C"/>
          <w:sz w:val="32"/>
          <w:szCs w:val="32"/>
        </w:rPr>
      </w:pPr>
      <w:bookmarkStart w:id="0" w:name="_GoBack"/>
      <w:bookmarkEnd w:id="0"/>
      <w:r>
        <w:rPr>
          <w:rFonts w:hint="default" w:ascii="Times New Roman" w:hAnsi="Times New Roman" w:eastAsia="方正仿宋_GBK" w:cs="Times New Roman"/>
          <w:color w:val="0C0C0C"/>
          <w:sz w:val="32"/>
          <w:szCs w:val="32"/>
        </w:rPr>
        <w:t>202</w:t>
      </w:r>
      <w:r>
        <w:rPr>
          <w:rFonts w:hint="eastAsia" w:ascii="Times New Roman" w:hAnsi="Times New Roman" w:eastAsia="方正仿宋_GBK" w:cs="Times New Roman"/>
          <w:color w:val="0C0C0C"/>
          <w:sz w:val="32"/>
          <w:szCs w:val="32"/>
          <w:lang w:val="en-US" w:eastAsia="zh-CN"/>
        </w:rPr>
        <w:t>4</w:t>
      </w:r>
      <w:r>
        <w:rPr>
          <w:rFonts w:hint="default" w:ascii="Times New Roman" w:hAnsi="Times New Roman" w:eastAsia="方正仿宋_GBK" w:cs="Times New Roman"/>
          <w:color w:val="0C0C0C"/>
          <w:sz w:val="32"/>
          <w:szCs w:val="32"/>
        </w:rPr>
        <w:t>年</w:t>
      </w:r>
      <w:r>
        <w:rPr>
          <w:rFonts w:hint="eastAsia" w:ascii="Times New Roman" w:hAnsi="Times New Roman" w:eastAsia="方正仿宋_GBK" w:cs="Times New Roman"/>
          <w:color w:val="0C0C0C"/>
          <w:sz w:val="32"/>
          <w:szCs w:val="32"/>
          <w:lang w:val="en-US" w:eastAsia="zh-CN"/>
        </w:rPr>
        <w:t>12</w:t>
      </w:r>
      <w:r>
        <w:rPr>
          <w:rFonts w:hint="default" w:ascii="Times New Roman" w:hAnsi="Times New Roman" w:eastAsia="方正仿宋_GBK" w:cs="Times New Roman"/>
          <w:color w:val="0C0C0C"/>
          <w:sz w:val="32"/>
          <w:szCs w:val="32"/>
        </w:rPr>
        <w:t>月</w:t>
      </w:r>
      <w:r>
        <w:rPr>
          <w:rFonts w:hint="eastAsia" w:ascii="Times New Roman" w:hAnsi="Times New Roman" w:eastAsia="方正仿宋_GBK" w:cs="Times New Roman"/>
          <w:color w:val="0C0C0C"/>
          <w:sz w:val="32"/>
          <w:szCs w:val="32"/>
          <w:lang w:val="en-US" w:eastAsia="zh-CN"/>
        </w:rPr>
        <w:t>24</w:t>
      </w:r>
      <w:r>
        <w:rPr>
          <w:rFonts w:hint="default" w:ascii="Times New Roman" w:hAnsi="Times New Roman" w:eastAsia="方正仿宋_GBK" w:cs="Times New Roman"/>
          <w:color w:val="0C0C0C"/>
          <w:sz w:val="32"/>
          <w:szCs w:val="32"/>
        </w:rPr>
        <w:t>日</w:t>
      </w:r>
    </w:p>
    <w:p w14:paraId="63FF1C85">
      <w:pPr>
        <w:numPr>
          <w:ilvl w:val="-1"/>
          <w:numId w:val="0"/>
        </w:numPr>
        <w:spacing w:line="240" w:lineRule="auto"/>
        <w:rPr>
          <w:rFonts w:hint="eastAsia" w:ascii="方正楷体_GBK" w:hAnsi="方正楷体_GBK" w:eastAsia="方正楷体_GBK" w:cs="方正楷体_GBK"/>
          <w:color w:val="C00000"/>
          <w:sz w:val="28"/>
          <w:szCs w:val="28"/>
          <w:lang w:val="en-US" w:eastAsia="zh-CN"/>
        </w:rPr>
        <w:sectPr>
          <w:headerReference r:id="rId3" w:type="default"/>
          <w:footerReference r:id="rId4" w:type="default"/>
          <w:type w:val="continuous"/>
          <w:pgSz w:w="11906" w:h="16838"/>
          <w:pgMar w:top="1962" w:right="1474" w:bottom="1848" w:left="1587" w:header="850" w:footer="992" w:gutter="0"/>
          <w:pgNumType w:fmt="numberInDash"/>
          <w:cols w:space="720" w:num="1"/>
          <w:rtlGutter w:val="0"/>
          <w:docGrid w:type="lines" w:linePitch="316" w:charSpace="0"/>
        </w:sectPr>
      </w:pPr>
      <w:r>
        <w:rPr>
          <w:rFonts w:hint="eastAsia" w:ascii="方正楷体_GBK" w:hAnsi="方正楷体_GBK" w:eastAsia="方正楷体_GBK" w:cs="方正楷体_GBK"/>
          <w:color w:val="C00000"/>
          <w:sz w:val="28"/>
          <w:szCs w:val="28"/>
          <w:lang w:val="en-US" w:eastAsia="zh-CN"/>
        </w:rPr>
        <w:br w:type="page"/>
      </w:r>
    </w:p>
    <w:p w14:paraId="68182E5B">
      <w:pPr>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附件</w:t>
      </w:r>
    </w:p>
    <w:p w14:paraId="46FC1883">
      <w:pPr>
        <w:jc w:val="center"/>
        <w:rPr>
          <w:sz w:val="36"/>
        </w:rPr>
      </w:pPr>
    </w:p>
    <w:p w14:paraId="741DCE88">
      <w:pPr>
        <w:jc w:val="center"/>
        <w:rPr>
          <w:rFonts w:hint="eastAsia" w:ascii="Times New Roman" w:hAnsi="Times New Roman" w:eastAsia="方正小标宋_GBK" w:cs="方正小标宋_GBK"/>
          <w:i w:val="0"/>
          <w:color w:val="000000"/>
          <w:sz w:val="36"/>
          <w:szCs w:val="36"/>
          <w:u w:val="none"/>
        </w:rPr>
      </w:pPr>
      <w:r>
        <w:rPr>
          <w:rFonts w:hint="eastAsia" w:ascii="Times New Roman" w:hAnsi="Times New Roman" w:eastAsia="方正小标宋_GBK" w:cs="方正小标宋_GBK"/>
          <w:i w:val="0"/>
          <w:color w:val="000000"/>
          <w:sz w:val="36"/>
          <w:szCs w:val="36"/>
          <w:u w:val="none"/>
        </w:rPr>
        <w:t>废止局规范性文件目录</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1"/>
        <w:gridCol w:w="5646"/>
        <w:gridCol w:w="3358"/>
      </w:tblGrid>
      <w:tr w14:paraId="3C73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2927D">
            <w:pPr>
              <w:keepNext w:val="0"/>
              <w:keepLines w:val="0"/>
              <w:widowControl/>
              <w:suppressLineNumbers w:val="0"/>
              <w:spacing w:line="50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序号</w:t>
            </w:r>
          </w:p>
        </w:tc>
        <w:tc>
          <w:tcPr>
            <w:tcW w:w="5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59222">
            <w:pPr>
              <w:keepNext w:val="0"/>
              <w:keepLines w:val="0"/>
              <w:widowControl/>
              <w:suppressLineNumbers w:val="0"/>
              <w:spacing w:line="500" w:lineRule="exact"/>
              <w:jc w:val="center"/>
              <w:textAlignment w:val="center"/>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
              </w:rPr>
              <w:t>文件名称</w:t>
            </w:r>
          </w:p>
        </w:tc>
        <w:tc>
          <w:tcPr>
            <w:tcW w:w="3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862DA">
            <w:pPr>
              <w:keepNext w:val="0"/>
              <w:keepLines w:val="0"/>
              <w:widowControl/>
              <w:suppressLineNumbers w:val="0"/>
              <w:spacing w:line="500" w:lineRule="exact"/>
              <w:jc w:val="center"/>
              <w:textAlignment w:val="center"/>
              <w:rPr>
                <w:rFonts w:hint="eastAsia" w:ascii="方正黑体_GBK" w:hAnsi="方正黑体_GBK" w:eastAsia="方正黑体_GBK" w:cs="方正黑体_GBK"/>
                <w:b w:val="0"/>
                <w:bCs/>
                <w:i w:val="0"/>
                <w:color w:val="000000"/>
                <w:sz w:val="24"/>
                <w:szCs w:val="24"/>
                <w:u w:val="none"/>
                <w:lang w:eastAsia="zh-CN"/>
              </w:rPr>
            </w:pPr>
            <w:r>
              <w:rPr>
                <w:rFonts w:hint="eastAsia" w:ascii="方正黑体_GBK" w:hAnsi="方正黑体_GBK" w:eastAsia="方正黑体_GBK" w:cs="方正黑体_GBK"/>
                <w:b w:val="0"/>
                <w:bCs/>
                <w:i w:val="0"/>
                <w:color w:val="000000"/>
                <w:sz w:val="24"/>
                <w:szCs w:val="24"/>
                <w:u w:val="none"/>
                <w:lang w:eastAsia="zh-CN"/>
              </w:rPr>
              <w:t>文号</w:t>
            </w:r>
          </w:p>
        </w:tc>
      </w:tr>
      <w:tr w14:paraId="0D56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41A49">
            <w:pPr>
              <w:spacing w:line="6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
                <w:color w:val="auto"/>
                <w:sz w:val="28"/>
                <w:szCs w:val="28"/>
              </w:rPr>
              <w:t>1</w:t>
            </w:r>
          </w:p>
        </w:tc>
        <w:tc>
          <w:tcPr>
            <w:tcW w:w="5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2EEF9">
            <w:pPr>
              <w:spacing w:line="400" w:lineRule="exact"/>
              <w:jc w:val="both"/>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重庆市规划和自然资源局关于进一步细化工业项目配套设施规划管理要求的通知</w:t>
            </w:r>
          </w:p>
        </w:tc>
        <w:tc>
          <w:tcPr>
            <w:tcW w:w="3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A4114">
            <w:pPr>
              <w:spacing w:line="4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渝规资规范〔2019〕6号</w:t>
            </w:r>
          </w:p>
        </w:tc>
      </w:tr>
      <w:tr w14:paraId="725F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1890B">
            <w:pPr>
              <w:spacing w:line="6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
                <w:color w:val="auto"/>
                <w:sz w:val="28"/>
                <w:szCs w:val="28"/>
              </w:rPr>
              <w:t>2</w:t>
            </w:r>
          </w:p>
        </w:tc>
        <w:tc>
          <w:tcPr>
            <w:tcW w:w="5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C6083">
            <w:pPr>
              <w:spacing w:line="400" w:lineRule="exact"/>
              <w:jc w:val="both"/>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重庆市规划和自然资源局关于印发《重庆市房产面积测算成果备案审核管理办法》的通知</w:t>
            </w:r>
          </w:p>
        </w:tc>
        <w:tc>
          <w:tcPr>
            <w:tcW w:w="3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85AEA">
            <w:pPr>
              <w:spacing w:line="4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渝规资规范〔2019〕16号</w:t>
            </w:r>
          </w:p>
        </w:tc>
      </w:tr>
      <w:tr w14:paraId="19AF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88810">
            <w:pPr>
              <w:spacing w:line="6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
                <w:color w:val="auto"/>
                <w:sz w:val="28"/>
                <w:szCs w:val="28"/>
                <w:lang w:val="en-US" w:eastAsia="zh-CN"/>
              </w:rPr>
              <w:t>3</w:t>
            </w:r>
          </w:p>
        </w:tc>
        <w:tc>
          <w:tcPr>
            <w:tcW w:w="5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D7ECB">
            <w:pPr>
              <w:spacing w:line="400" w:lineRule="exact"/>
              <w:jc w:val="both"/>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重庆市规划和自然资源局关于印发《行政管理文书遗失补办规定》的通知</w:t>
            </w:r>
          </w:p>
        </w:tc>
        <w:tc>
          <w:tcPr>
            <w:tcW w:w="3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C44B8">
            <w:pPr>
              <w:spacing w:line="4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Cs/>
                <w:color w:val="auto"/>
                <w:sz w:val="28"/>
                <w:szCs w:val="28"/>
                <w:lang w:val="en-US" w:eastAsia="zh-CN"/>
              </w:rPr>
              <w:t>渝规资规范〔2019〕37号</w:t>
            </w:r>
          </w:p>
        </w:tc>
      </w:tr>
      <w:tr w14:paraId="209C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41DD">
            <w:pPr>
              <w:spacing w:line="600" w:lineRule="exact"/>
              <w:jc w:val="center"/>
              <w:rPr>
                <w:rFonts w:hint="eastAsia" w:ascii="Times New Roman" w:hAnsi="Times New Roman" w:eastAsia="方正仿宋_GBK" w:cs="方正仿宋_GBK"/>
                <w:i w:val="0"/>
                <w:color w:val="000000"/>
                <w:sz w:val="24"/>
                <w:szCs w:val="24"/>
                <w:u w:val="none"/>
              </w:rPr>
            </w:pPr>
            <w:r>
              <w:rPr>
                <w:rFonts w:hint="default" w:ascii="Times New Roman" w:hAnsi="Times New Roman" w:eastAsia="方正仿宋_GBK" w:cs="Times New Roman"/>
                <w:b/>
                <w:color w:val="auto"/>
                <w:sz w:val="28"/>
                <w:szCs w:val="28"/>
                <w:lang w:val="en-US" w:eastAsia="zh-CN"/>
              </w:rPr>
              <w:t>4</w:t>
            </w:r>
          </w:p>
        </w:tc>
        <w:tc>
          <w:tcPr>
            <w:tcW w:w="5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35B7E">
            <w:pPr>
              <w:spacing w:line="400" w:lineRule="exact"/>
              <w:jc w:val="both"/>
              <w:rPr>
                <w:rFonts w:hint="eastAsia" w:ascii="Times New Roman" w:hAnsi="Times New Roman" w:eastAsia="方正仿宋_GBK" w:cs="方正仿宋_GBK"/>
                <w:b/>
                <w:i w:val="0"/>
                <w:color w:val="000000"/>
                <w:sz w:val="24"/>
                <w:szCs w:val="24"/>
                <w:u w:val="none"/>
              </w:rPr>
            </w:pPr>
            <w:r>
              <w:rPr>
                <w:rFonts w:hint="default" w:ascii="Times New Roman" w:hAnsi="Times New Roman" w:eastAsia="方正仿宋_GBK" w:cs="Times New Roman"/>
                <w:bCs/>
                <w:color w:val="auto"/>
                <w:sz w:val="28"/>
                <w:szCs w:val="28"/>
                <w:lang w:val="en-US" w:eastAsia="zh-CN"/>
              </w:rPr>
              <w:t>重庆市规划和自然资源局关于进一步规范村庄规划编制审批有关工作的通知</w:t>
            </w:r>
          </w:p>
        </w:tc>
        <w:tc>
          <w:tcPr>
            <w:tcW w:w="3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E5BA1">
            <w:pPr>
              <w:spacing w:line="400" w:lineRule="exact"/>
              <w:jc w:val="center"/>
              <w:rPr>
                <w:rFonts w:hint="eastAsia" w:ascii="Times New Roman" w:hAnsi="Times New Roman" w:eastAsia="方正仿宋_GBK" w:cs="方正仿宋_GBK"/>
                <w:b/>
                <w:i w:val="0"/>
                <w:color w:val="000000"/>
                <w:sz w:val="24"/>
                <w:szCs w:val="24"/>
                <w:u w:val="none"/>
              </w:rPr>
            </w:pPr>
            <w:r>
              <w:rPr>
                <w:rFonts w:hint="default" w:ascii="Times New Roman" w:hAnsi="Times New Roman" w:eastAsia="方正仿宋_GBK" w:cs="Times New Roman"/>
                <w:bCs/>
                <w:color w:val="auto"/>
                <w:sz w:val="28"/>
                <w:szCs w:val="28"/>
                <w:lang w:val="en-US" w:eastAsia="zh-CN"/>
              </w:rPr>
              <w:t>渝规资规范〔2021〕2号</w:t>
            </w:r>
          </w:p>
        </w:tc>
      </w:tr>
    </w:tbl>
    <w:p w14:paraId="25253356"/>
    <w:sectPr>
      <w:type w:val="continuous"/>
      <w:pgSz w:w="11906" w:h="16838"/>
      <w:pgMar w:top="1417" w:right="1134" w:bottom="1417" w:left="1134"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5EE003-BE0D-43E3-9169-8B7B75F6D3D4}"/>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057AC964-07AA-4BD8-A1E5-070BEE409741}"/>
  </w:font>
  <w:font w:name="方正楷体_GBK">
    <w:altName w:val="微软雅黑"/>
    <w:panose1 w:val="03000509000000000000"/>
    <w:charset w:val="86"/>
    <w:family w:val="auto"/>
    <w:pitch w:val="default"/>
    <w:sig w:usb0="00000000" w:usb1="00000000" w:usb2="00000000" w:usb3="00000000" w:csb0="00040000" w:csb1="00000000"/>
    <w:embedRegular r:id="rId3" w:fontKey="{6CC7BF67-0C03-4FA9-80F0-08E132463DF4}"/>
  </w:font>
  <w:font w:name="方正仿宋_GBK">
    <w:panose1 w:val="02000000000000000000"/>
    <w:charset w:val="86"/>
    <w:family w:val="auto"/>
    <w:pitch w:val="default"/>
    <w:sig w:usb0="A00002BF" w:usb1="38CF7CFA" w:usb2="00082016" w:usb3="00000000" w:csb0="00040001" w:csb1="00000000"/>
    <w:embedRegular r:id="rId4" w:fontKey="{1088134C-A330-4A5F-8336-3524AB5C0935}"/>
  </w:font>
  <w:font w:name="方正黑体_GBK">
    <w:panose1 w:val="02010600010101010101"/>
    <w:charset w:val="86"/>
    <w:family w:val="auto"/>
    <w:pitch w:val="default"/>
    <w:sig w:usb0="00000001" w:usb1="080E0000" w:usb2="00000000" w:usb3="00000000" w:csb0="00040000" w:csb1="00000000"/>
    <w:embedRegular r:id="rId5" w:fontKey="{A30DE441-1214-4B84-8BB5-2AC5EAE6220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A688">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5D35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75D35A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47ADF92">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149860</wp:posOffset>
              </wp:positionV>
              <wp:extent cx="5600700" cy="0"/>
              <wp:effectExtent l="0" t="10795" r="0" b="1778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1.4pt;margin-top:11.8pt;height:0pt;width:441pt;z-index:251659264;mso-width-relative:page;mso-height-relative:page;" filled="f" stroked="t" coordsize="21600,21600" o:gfxdata="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PA71QAAAAcBAAAPAAAAAAAAAAEAIAAAACIAAABkcnMv&#10;ZG93bnJldi54bWxQSwECFAAUAAAACACHTuJAXhMq5QYCAAD3AwAADgAAAAAAAAABACAAAAAkAQAA&#10;ZHJzL2Uyb0RvYy54bWxQSwUGAAAAAAYABgBZAQAAnAUAAAAA&#10;">
              <v:fill on="f" focussize="0,0"/>
              <v:stroke weight="1.75pt" color="#5B9BD5" joinstyle="miter"/>
              <v:imagedata o:title=""/>
              <o:lock v:ext="edit" aspectratio="f"/>
            </v:shape>
          </w:pict>
        </mc:Fallback>
      </mc:AlternateContent>
    </w:r>
  </w:p>
  <w:p w14:paraId="27E0B96E">
    <w:pPr>
      <w:pStyle w:val="6"/>
      <w:wordWrap/>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0C5A">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p>
  <w:p w14:paraId="6FFDE43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342265</wp:posOffset>
              </wp:positionV>
              <wp:extent cx="5622290" cy="889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2290" cy="889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22.65pt;margin-top:26.95pt;height:0.7pt;width:442.7pt;z-index:251661312;mso-width-relative:page;mso-height-relative:page;" filled="f" stroked="t" coordsize="21600,21600" o:gfxdata="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Gi4ePZAAAACQEAAA8AAAAAAAAAAQAgAAAAIgAA&#10;AGRycy9kb3ducmV2LnhtbFBLAQIUABQAAAAIAIdO4kAPjTcDBwIAAPoDAAAOAAAAAAAAAAEAIAAA&#10;ACgBAABkcnMvZTJvRG9jLnhtbFBLBQYAAAAABgAGAFkBAAChBQAAAAA=&#10;">
              <v:fill on="f" focussize="0,0"/>
              <v:stroke weight="1.75pt" color="#5B9BD5"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056CF"/>
    <w:rsid w:val="059904C4"/>
    <w:rsid w:val="0F0C213A"/>
    <w:rsid w:val="34CE5600"/>
    <w:rsid w:val="384170D9"/>
    <w:rsid w:val="46366A07"/>
    <w:rsid w:val="486747D6"/>
    <w:rsid w:val="51F25BE9"/>
    <w:rsid w:val="58317BE3"/>
    <w:rsid w:val="5C502240"/>
    <w:rsid w:val="5FAF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pPr>
      <w:ind w:left="100" w:firstLine="559"/>
      <w:jc w:val="left"/>
    </w:pPr>
    <w:rPr>
      <w:rFonts w:ascii="宋体" w:hAnsi="宋体"/>
      <w:snapToGrid/>
      <w:sz w:val="28"/>
      <w:szCs w:val="28"/>
      <w:lang w:eastAsia="en-US"/>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qFormat/>
    <w:uiPriority w:val="0"/>
    <w:pPr>
      <w:widowControl w:val="0"/>
      <w:tabs>
        <w:tab w:val="left" w:pos="8280"/>
      </w:tabs>
      <w:spacing w:after="120" w:line="240" w:lineRule="auto"/>
      <w:ind w:firstLine="420" w:firstLineChars="100"/>
      <w:jc w:val="both"/>
    </w:pPr>
    <w:rPr>
      <w:rFonts w:ascii="Calibri" w:hAnsi="Calibri" w:eastAsia="宋体" w:cs="Times New Roman"/>
      <w:snapToGrid w:val="0"/>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412</Words>
  <Characters>433</Characters>
  <Lines>0</Lines>
  <Paragraphs>0</Paragraphs>
  <TotalTime>1</TotalTime>
  <ScaleCrop>false</ScaleCrop>
  <LinksUpToDate>false</LinksUpToDate>
  <CharactersWithSpaces>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cp:lastModifiedBy>
  <dcterms:modified xsi:type="dcterms:W3CDTF">2024-12-27T01:50:45Z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C6BB2893C18544B6B793EEECD0702AAE_12</vt:lpwstr>
  </property>
</Properties>
</file>