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321D8">
      <w:pPr>
        <w:jc w:val="center"/>
        <w:rPr>
          <w:rFonts w:ascii="仿宋" w:hAnsi="仿宋" w:eastAsia="仿宋" w:cs="仿宋"/>
          <w:sz w:val="48"/>
          <w:szCs w:val="48"/>
        </w:rPr>
      </w:pPr>
      <w:bookmarkStart w:id="0" w:name="_Toc32299"/>
    </w:p>
    <w:p w14:paraId="1E5723D6">
      <w:pPr>
        <w:jc w:val="center"/>
        <w:rPr>
          <w:rFonts w:ascii="仿宋" w:hAnsi="仿宋" w:eastAsia="仿宋" w:cs="仿宋"/>
          <w:sz w:val="44"/>
          <w:szCs w:val="44"/>
        </w:rPr>
      </w:pPr>
      <w:r>
        <w:rPr>
          <w:rFonts w:hint="eastAsia" w:ascii="仿宋" w:hAnsi="仿宋" w:eastAsia="仿宋" w:cs="仿宋"/>
          <w:sz w:val="44"/>
          <w:szCs w:val="44"/>
        </w:rPr>
        <w:t>重庆市荣昌区万灵镇沙堡村村庄</w:t>
      </w:r>
    </w:p>
    <w:p w14:paraId="3B47B1B7">
      <w:pPr>
        <w:jc w:val="center"/>
        <w:rPr>
          <w:rFonts w:ascii="仿宋" w:hAnsi="仿宋" w:eastAsia="仿宋" w:cs="仿宋"/>
          <w:sz w:val="44"/>
          <w:szCs w:val="44"/>
        </w:rPr>
      </w:pPr>
      <w:r>
        <w:rPr>
          <w:rFonts w:hint="eastAsia" w:ascii="仿宋" w:hAnsi="仿宋" w:eastAsia="仿宋" w:cs="仿宋"/>
          <w:sz w:val="44"/>
          <w:szCs w:val="44"/>
        </w:rPr>
        <w:t>规划（2024-2035年）</w:t>
      </w:r>
    </w:p>
    <w:p w14:paraId="43E9FEFD">
      <w:pPr>
        <w:jc w:val="center"/>
        <w:rPr>
          <w:sz w:val="48"/>
          <w:szCs w:val="48"/>
        </w:rPr>
      </w:pPr>
    </w:p>
    <w:p w14:paraId="49690774">
      <w:pPr>
        <w:jc w:val="center"/>
        <w:rPr>
          <w:sz w:val="48"/>
          <w:szCs w:val="48"/>
        </w:rPr>
      </w:pPr>
    </w:p>
    <w:p w14:paraId="0F1240A0">
      <w:pPr>
        <w:jc w:val="center"/>
        <w:rPr>
          <w:sz w:val="48"/>
          <w:szCs w:val="48"/>
        </w:rPr>
      </w:pPr>
    </w:p>
    <w:p w14:paraId="112E959D">
      <w:pPr>
        <w:jc w:val="center"/>
        <w:rPr>
          <w:sz w:val="48"/>
          <w:szCs w:val="48"/>
        </w:rPr>
      </w:pPr>
    </w:p>
    <w:p w14:paraId="71F72F49">
      <w:pPr>
        <w:pStyle w:val="12"/>
        <w:ind w:left="420"/>
      </w:pPr>
    </w:p>
    <w:p w14:paraId="15E31A37">
      <w:pPr>
        <w:jc w:val="center"/>
        <w:rPr>
          <w:sz w:val="48"/>
          <w:szCs w:val="48"/>
        </w:rPr>
      </w:pPr>
    </w:p>
    <w:p w14:paraId="4DF0254C">
      <w:pPr>
        <w:jc w:val="center"/>
        <w:rPr>
          <w:sz w:val="48"/>
          <w:szCs w:val="48"/>
        </w:rPr>
      </w:pPr>
    </w:p>
    <w:p w14:paraId="1D047687">
      <w:pPr>
        <w:jc w:val="center"/>
        <w:rPr>
          <w:sz w:val="48"/>
          <w:szCs w:val="48"/>
        </w:rPr>
      </w:pPr>
    </w:p>
    <w:p w14:paraId="31DB5AF1">
      <w:pPr>
        <w:jc w:val="center"/>
        <w:rPr>
          <w:sz w:val="48"/>
          <w:szCs w:val="48"/>
        </w:rPr>
      </w:pPr>
    </w:p>
    <w:p w14:paraId="59DF114E">
      <w:pPr>
        <w:jc w:val="center"/>
        <w:rPr>
          <w:sz w:val="48"/>
          <w:szCs w:val="48"/>
        </w:rPr>
      </w:pPr>
    </w:p>
    <w:p w14:paraId="48533473">
      <w:pPr>
        <w:pStyle w:val="12"/>
        <w:ind w:left="420"/>
        <w:rPr>
          <w:sz w:val="48"/>
          <w:szCs w:val="48"/>
        </w:rPr>
      </w:pPr>
    </w:p>
    <w:p w14:paraId="73642345">
      <w:pPr>
        <w:rPr>
          <w:sz w:val="48"/>
          <w:szCs w:val="48"/>
        </w:rPr>
      </w:pPr>
    </w:p>
    <w:p w14:paraId="578036DB">
      <w:pPr>
        <w:pStyle w:val="12"/>
        <w:ind w:left="420"/>
        <w:rPr>
          <w:sz w:val="48"/>
          <w:szCs w:val="48"/>
        </w:rPr>
      </w:pPr>
    </w:p>
    <w:p w14:paraId="44CE8EFC"/>
    <w:p w14:paraId="2AD6F518">
      <w:pPr>
        <w:jc w:val="center"/>
        <w:rPr>
          <w:sz w:val="48"/>
          <w:szCs w:val="48"/>
        </w:rPr>
      </w:pPr>
    </w:p>
    <w:p w14:paraId="13AB2AFA">
      <w:pPr>
        <w:jc w:val="center"/>
        <w:rPr>
          <w:sz w:val="48"/>
          <w:szCs w:val="48"/>
        </w:rPr>
      </w:pPr>
    </w:p>
    <w:p w14:paraId="0296B7BA">
      <w:pPr>
        <w:jc w:val="center"/>
        <w:rPr>
          <w:sz w:val="48"/>
          <w:szCs w:val="48"/>
        </w:rPr>
      </w:pPr>
    </w:p>
    <w:p w14:paraId="7C9BD421">
      <w:pPr>
        <w:spacing w:line="360" w:lineRule="exact"/>
        <w:jc w:val="center"/>
        <w:rPr>
          <w:rFonts w:ascii="仿宋" w:hAnsi="仿宋" w:eastAsia="仿宋" w:cs="仿宋"/>
          <w:sz w:val="28"/>
          <w:szCs w:val="28"/>
        </w:rPr>
      </w:pPr>
      <w:r>
        <w:rPr>
          <w:rFonts w:hint="eastAsia" w:ascii="仿宋" w:hAnsi="仿宋" w:eastAsia="仿宋" w:cs="仿宋"/>
          <w:sz w:val="28"/>
          <w:szCs w:val="28"/>
        </w:rPr>
        <w:t>重庆市荣昌区万灵镇人民政府</w:t>
      </w:r>
    </w:p>
    <w:p w14:paraId="64BF1C97">
      <w:pPr>
        <w:spacing w:line="360" w:lineRule="exact"/>
        <w:jc w:val="center"/>
        <w:rPr>
          <w:rFonts w:ascii="仿宋" w:hAnsi="仿宋" w:eastAsia="仿宋" w:cs="仿宋"/>
          <w:sz w:val="28"/>
          <w:szCs w:val="28"/>
        </w:rPr>
      </w:pPr>
      <w:r>
        <w:rPr>
          <w:rFonts w:hint="eastAsia" w:ascii="仿宋" w:hAnsi="仿宋" w:eastAsia="仿宋" w:cs="仿宋"/>
          <w:sz w:val="28"/>
          <w:szCs w:val="28"/>
        </w:rPr>
        <w:t>重庆钧鸿勘测规划设计有限公司</w:t>
      </w:r>
    </w:p>
    <w:p w14:paraId="1C78CE35">
      <w:pPr>
        <w:spacing w:line="360" w:lineRule="exact"/>
        <w:jc w:val="center"/>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二〇二四年十</w:t>
      </w:r>
      <w:r>
        <w:rPr>
          <w:rFonts w:hint="eastAsia" w:ascii="仿宋" w:hAnsi="仿宋" w:eastAsia="仿宋" w:cs="仿宋"/>
          <w:sz w:val="28"/>
          <w:szCs w:val="28"/>
          <w:lang w:val="en-US" w:eastAsia="zh-CN"/>
        </w:rPr>
        <w:t>二</w:t>
      </w:r>
      <w:r>
        <w:rPr>
          <w:rFonts w:hint="eastAsia" w:ascii="仿宋" w:hAnsi="仿宋" w:eastAsia="仿宋" w:cs="仿宋"/>
          <w:sz w:val="28"/>
          <w:szCs w:val="28"/>
        </w:rPr>
        <w:t>月</w:t>
      </w:r>
    </w:p>
    <w:p w14:paraId="3E851E33">
      <w:pPr>
        <w:pStyle w:val="12"/>
        <w:ind w:left="420"/>
        <w:rPr>
          <w:rFonts w:ascii="仿宋" w:hAnsi="仿宋" w:eastAsia="仿宋" w:cs="仿宋"/>
          <w:b/>
          <w:bCs/>
          <w:sz w:val="28"/>
          <w:szCs w:val="28"/>
        </w:rPr>
      </w:pPr>
      <w:r>
        <w:drawing>
          <wp:anchor distT="0" distB="0" distL="114300" distR="114300" simplePos="0" relativeHeight="251659264" behindDoc="0" locked="0" layoutInCell="1" allowOverlap="1">
            <wp:simplePos x="0" y="0"/>
            <wp:positionH relativeFrom="column">
              <wp:posOffset>-37465</wp:posOffset>
            </wp:positionH>
            <wp:positionV relativeFrom="paragraph">
              <wp:posOffset>311785</wp:posOffset>
            </wp:positionV>
            <wp:extent cx="5269230" cy="3485515"/>
            <wp:effectExtent l="0" t="0" r="7620" b="63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69230" cy="3485515"/>
                    </a:xfrm>
                    <a:prstGeom prst="rect">
                      <a:avLst/>
                    </a:prstGeom>
                    <a:noFill/>
                    <a:ln>
                      <a:noFill/>
                    </a:ln>
                  </pic:spPr>
                </pic:pic>
              </a:graphicData>
            </a:graphic>
          </wp:anchor>
        </w:drawing>
      </w:r>
    </w:p>
    <w:tbl>
      <w:tblPr>
        <w:tblStyle w:val="13"/>
        <w:tblW w:w="0" w:type="auto"/>
        <w:tblInd w:w="0" w:type="dxa"/>
        <w:tblLayout w:type="autofit"/>
        <w:tblCellMar>
          <w:top w:w="0" w:type="dxa"/>
          <w:left w:w="108" w:type="dxa"/>
          <w:bottom w:w="0" w:type="dxa"/>
          <w:right w:w="108" w:type="dxa"/>
        </w:tblCellMar>
      </w:tblPr>
      <w:tblGrid>
        <w:gridCol w:w="2231"/>
        <w:gridCol w:w="6277"/>
      </w:tblGrid>
      <w:tr w14:paraId="63C30959">
        <w:tblPrEx>
          <w:tblCellMar>
            <w:top w:w="0" w:type="dxa"/>
            <w:left w:w="108" w:type="dxa"/>
            <w:bottom w:w="0" w:type="dxa"/>
            <w:right w:w="108" w:type="dxa"/>
          </w:tblCellMar>
        </w:tblPrEx>
        <w:trPr>
          <w:trHeight w:val="440" w:hRule="atLeast"/>
        </w:trPr>
        <w:tc>
          <w:tcPr>
            <w:tcW w:w="2231" w:type="dxa"/>
            <w:vAlign w:val="center"/>
          </w:tcPr>
          <w:p w14:paraId="15D01BD6">
            <w:pPr>
              <w:snapToGrid w:val="0"/>
              <w:contextualSpacing/>
              <w:rPr>
                <w:rFonts w:ascii="仿宋" w:hAnsi="仿宋" w:eastAsia="仿宋" w:cs="仿宋"/>
                <w:bCs/>
                <w:sz w:val="22"/>
              </w:rPr>
            </w:pPr>
            <w:r>
              <w:rPr>
                <w:rFonts w:hint="eastAsia" w:ascii="仿宋" w:hAnsi="仿宋" w:eastAsia="仿宋" w:cs="仿宋"/>
                <w:bCs/>
                <w:sz w:val="22"/>
              </w:rPr>
              <w:t>项  目  名  称</w:t>
            </w:r>
          </w:p>
        </w:tc>
        <w:tc>
          <w:tcPr>
            <w:tcW w:w="6277" w:type="dxa"/>
            <w:vAlign w:val="center"/>
          </w:tcPr>
          <w:p w14:paraId="24EE45E3">
            <w:pPr>
              <w:rPr>
                <w:rFonts w:ascii="仿宋" w:hAnsi="仿宋" w:eastAsia="仿宋" w:cs="仿宋"/>
                <w:bCs/>
                <w:sz w:val="22"/>
              </w:rPr>
            </w:pPr>
            <w:r>
              <w:rPr>
                <w:rFonts w:hint="eastAsia" w:ascii="仿宋" w:hAnsi="仿宋" w:eastAsia="仿宋" w:cs="仿宋"/>
                <w:bCs/>
                <w:sz w:val="22"/>
              </w:rPr>
              <w:t>重庆市荣昌区万灵镇沙堡村村庄规划（2024-2035年）</w:t>
            </w:r>
          </w:p>
        </w:tc>
      </w:tr>
      <w:tr w14:paraId="4F3791E3">
        <w:tblPrEx>
          <w:tblCellMar>
            <w:top w:w="0" w:type="dxa"/>
            <w:left w:w="108" w:type="dxa"/>
            <w:bottom w:w="0" w:type="dxa"/>
            <w:right w:w="108" w:type="dxa"/>
          </w:tblCellMar>
        </w:tblPrEx>
        <w:trPr>
          <w:trHeight w:val="171" w:hRule="atLeast"/>
        </w:trPr>
        <w:tc>
          <w:tcPr>
            <w:tcW w:w="2231" w:type="dxa"/>
            <w:vAlign w:val="center"/>
          </w:tcPr>
          <w:p w14:paraId="271323D1">
            <w:pPr>
              <w:snapToGrid w:val="0"/>
              <w:contextualSpacing/>
              <w:rPr>
                <w:rFonts w:ascii="仿宋" w:hAnsi="仿宋" w:eastAsia="仿宋" w:cs="仿宋"/>
                <w:bCs/>
                <w:sz w:val="22"/>
              </w:rPr>
            </w:pPr>
            <w:r>
              <w:rPr>
                <w:rFonts w:hint="eastAsia" w:ascii="仿宋" w:hAnsi="仿宋" w:eastAsia="仿宋" w:cs="仿宋"/>
                <w:bCs/>
                <w:sz w:val="22"/>
              </w:rPr>
              <w:t>委  托  单  位</w:t>
            </w:r>
          </w:p>
        </w:tc>
        <w:tc>
          <w:tcPr>
            <w:tcW w:w="6277" w:type="dxa"/>
            <w:vAlign w:val="center"/>
          </w:tcPr>
          <w:p w14:paraId="48ADAC3E">
            <w:pPr>
              <w:snapToGrid w:val="0"/>
              <w:contextualSpacing/>
              <w:rPr>
                <w:rFonts w:ascii="仿宋" w:hAnsi="仿宋" w:eastAsia="仿宋" w:cs="仿宋"/>
                <w:bCs/>
                <w:sz w:val="22"/>
              </w:rPr>
            </w:pPr>
            <w:r>
              <w:rPr>
                <w:rFonts w:hint="eastAsia" w:ascii="仿宋" w:hAnsi="仿宋" w:eastAsia="仿宋" w:cs="仿宋"/>
                <w:bCs/>
                <w:sz w:val="22"/>
              </w:rPr>
              <w:t>重庆市荣昌区万灵镇人民政府</w:t>
            </w:r>
          </w:p>
        </w:tc>
      </w:tr>
      <w:tr w14:paraId="799307EC">
        <w:tblPrEx>
          <w:tblCellMar>
            <w:top w:w="0" w:type="dxa"/>
            <w:left w:w="108" w:type="dxa"/>
            <w:bottom w:w="0" w:type="dxa"/>
            <w:right w:w="108" w:type="dxa"/>
          </w:tblCellMar>
        </w:tblPrEx>
        <w:trPr>
          <w:trHeight w:val="200" w:hRule="atLeast"/>
        </w:trPr>
        <w:tc>
          <w:tcPr>
            <w:tcW w:w="2231" w:type="dxa"/>
            <w:vAlign w:val="center"/>
          </w:tcPr>
          <w:p w14:paraId="009E3C2E">
            <w:pPr>
              <w:snapToGrid w:val="0"/>
              <w:contextualSpacing/>
              <w:rPr>
                <w:rFonts w:ascii="仿宋" w:hAnsi="仿宋" w:eastAsia="仿宋" w:cs="仿宋"/>
                <w:bCs/>
                <w:sz w:val="22"/>
              </w:rPr>
            </w:pPr>
            <w:r>
              <w:rPr>
                <w:rFonts w:hint="eastAsia" w:ascii="仿宋" w:hAnsi="仿宋" w:eastAsia="仿宋" w:cs="仿宋"/>
                <w:bCs/>
                <w:sz w:val="22"/>
              </w:rPr>
              <w:t xml:space="preserve">编  制  单  位 </w:t>
            </w:r>
          </w:p>
        </w:tc>
        <w:tc>
          <w:tcPr>
            <w:tcW w:w="6277" w:type="dxa"/>
            <w:vAlign w:val="center"/>
          </w:tcPr>
          <w:p w14:paraId="32FB0697">
            <w:pPr>
              <w:snapToGrid w:val="0"/>
              <w:contextualSpacing/>
              <w:rPr>
                <w:rFonts w:ascii="仿宋" w:hAnsi="仿宋" w:eastAsia="仿宋" w:cs="仿宋"/>
                <w:bCs/>
                <w:sz w:val="22"/>
              </w:rPr>
            </w:pPr>
            <w:r>
              <w:rPr>
                <w:rFonts w:hint="eastAsia" w:ascii="仿宋" w:hAnsi="仿宋" w:eastAsia="仿宋" w:cs="仿宋"/>
                <w:bCs/>
                <w:sz w:val="22"/>
              </w:rPr>
              <w:t>重庆钧鸿勘测规划设计有限公司</w:t>
            </w:r>
          </w:p>
        </w:tc>
      </w:tr>
      <w:tr w14:paraId="0EA84D96">
        <w:tblPrEx>
          <w:tblCellMar>
            <w:top w:w="0" w:type="dxa"/>
            <w:left w:w="108" w:type="dxa"/>
            <w:bottom w:w="0" w:type="dxa"/>
            <w:right w:w="108" w:type="dxa"/>
          </w:tblCellMar>
        </w:tblPrEx>
        <w:trPr>
          <w:trHeight w:val="287" w:hRule="atLeast"/>
        </w:trPr>
        <w:tc>
          <w:tcPr>
            <w:tcW w:w="2231" w:type="dxa"/>
            <w:vAlign w:val="center"/>
          </w:tcPr>
          <w:p w14:paraId="16B0FB6C">
            <w:pPr>
              <w:snapToGrid w:val="0"/>
              <w:contextualSpacing/>
              <w:rPr>
                <w:rFonts w:ascii="仿宋" w:hAnsi="仿宋" w:eastAsia="仿宋" w:cs="仿宋"/>
                <w:bCs/>
                <w:sz w:val="22"/>
              </w:rPr>
            </w:pPr>
            <w:r>
              <w:rPr>
                <w:rFonts w:hint="eastAsia" w:ascii="仿宋" w:hAnsi="仿宋" w:eastAsia="仿宋" w:cs="仿宋"/>
                <w:bCs/>
                <w:sz w:val="22"/>
              </w:rPr>
              <w:t>资  质  证  书</w:t>
            </w:r>
          </w:p>
        </w:tc>
        <w:tc>
          <w:tcPr>
            <w:tcW w:w="6277" w:type="dxa"/>
            <w:vAlign w:val="center"/>
          </w:tcPr>
          <w:p w14:paraId="0D13816C">
            <w:pPr>
              <w:snapToGrid w:val="0"/>
              <w:contextualSpacing/>
              <w:rPr>
                <w:rFonts w:ascii="仿宋" w:hAnsi="仿宋" w:eastAsia="仿宋" w:cs="仿宋"/>
                <w:bCs/>
                <w:sz w:val="22"/>
              </w:rPr>
            </w:pPr>
            <w:r>
              <w:rPr>
                <w:rFonts w:hint="eastAsia" w:ascii="仿宋" w:hAnsi="仿宋" w:eastAsia="仿宋" w:cs="仿宋"/>
                <w:bCs/>
                <w:sz w:val="22"/>
              </w:rPr>
              <w:t>渝自资规乙字22500019</w:t>
            </w:r>
          </w:p>
        </w:tc>
      </w:tr>
      <w:tr w14:paraId="4FB97F42">
        <w:tblPrEx>
          <w:tblCellMar>
            <w:top w:w="0" w:type="dxa"/>
            <w:left w:w="108" w:type="dxa"/>
            <w:bottom w:w="0" w:type="dxa"/>
            <w:right w:w="108" w:type="dxa"/>
          </w:tblCellMar>
        </w:tblPrEx>
        <w:trPr>
          <w:trHeight w:val="287" w:hRule="atLeast"/>
        </w:trPr>
        <w:tc>
          <w:tcPr>
            <w:tcW w:w="2231" w:type="dxa"/>
            <w:vAlign w:val="center"/>
          </w:tcPr>
          <w:p w14:paraId="0AE0731A">
            <w:pPr>
              <w:snapToGrid w:val="0"/>
              <w:contextualSpacing/>
              <w:rPr>
                <w:rFonts w:ascii="仿宋" w:hAnsi="仿宋" w:eastAsia="仿宋" w:cs="仿宋"/>
                <w:bCs/>
                <w:sz w:val="22"/>
              </w:rPr>
            </w:pPr>
            <w:r>
              <w:rPr>
                <w:rFonts w:hint="eastAsia" w:ascii="仿宋" w:hAnsi="仿宋" w:eastAsia="仿宋" w:cs="仿宋"/>
                <w:bCs/>
                <w:sz w:val="22"/>
              </w:rPr>
              <w:t>法 定 代 表 人</w:t>
            </w:r>
          </w:p>
        </w:tc>
        <w:tc>
          <w:tcPr>
            <w:tcW w:w="6277" w:type="dxa"/>
            <w:vAlign w:val="center"/>
          </w:tcPr>
          <w:p w14:paraId="0F586095">
            <w:pPr>
              <w:snapToGrid w:val="0"/>
              <w:contextualSpacing/>
              <w:rPr>
                <w:rFonts w:ascii="仿宋" w:hAnsi="仿宋" w:eastAsia="仿宋" w:cs="仿宋"/>
                <w:bCs/>
                <w:sz w:val="22"/>
              </w:rPr>
            </w:pPr>
            <w:r>
              <w:rPr>
                <w:rFonts w:hint="eastAsia" w:ascii="仿宋" w:hAnsi="仿宋" w:eastAsia="仿宋" w:cs="仿宋"/>
                <w:bCs/>
                <w:sz w:val="22"/>
              </w:rPr>
              <w:t>杨金凤</w:t>
            </w:r>
          </w:p>
        </w:tc>
      </w:tr>
      <w:tr w14:paraId="765F8766">
        <w:tblPrEx>
          <w:tblCellMar>
            <w:top w:w="0" w:type="dxa"/>
            <w:left w:w="108" w:type="dxa"/>
            <w:bottom w:w="0" w:type="dxa"/>
            <w:right w:w="108" w:type="dxa"/>
          </w:tblCellMar>
        </w:tblPrEx>
        <w:trPr>
          <w:trHeight w:val="272" w:hRule="atLeast"/>
        </w:trPr>
        <w:tc>
          <w:tcPr>
            <w:tcW w:w="2231" w:type="dxa"/>
            <w:vAlign w:val="center"/>
          </w:tcPr>
          <w:p w14:paraId="66530D18">
            <w:pPr>
              <w:snapToGrid w:val="0"/>
              <w:contextualSpacing/>
              <w:rPr>
                <w:rFonts w:ascii="仿宋" w:hAnsi="仿宋" w:eastAsia="仿宋" w:cs="仿宋"/>
                <w:bCs/>
                <w:sz w:val="22"/>
              </w:rPr>
            </w:pPr>
            <w:r>
              <w:rPr>
                <w:rFonts w:hint="eastAsia" w:ascii="仿宋" w:hAnsi="仿宋" w:eastAsia="仿宋" w:cs="仿宋"/>
                <w:bCs/>
                <w:sz w:val="22"/>
              </w:rPr>
              <w:t>承  担  部  门</w:t>
            </w:r>
          </w:p>
        </w:tc>
        <w:tc>
          <w:tcPr>
            <w:tcW w:w="6277" w:type="dxa"/>
            <w:vAlign w:val="center"/>
          </w:tcPr>
          <w:p w14:paraId="2ADF2F7E">
            <w:pPr>
              <w:snapToGrid w:val="0"/>
              <w:contextualSpacing/>
              <w:rPr>
                <w:rFonts w:ascii="仿宋" w:hAnsi="仿宋" w:eastAsia="仿宋" w:cs="仿宋"/>
                <w:bCs/>
                <w:sz w:val="22"/>
              </w:rPr>
            </w:pPr>
            <w:r>
              <w:rPr>
                <w:rFonts w:hint="eastAsia" w:ascii="仿宋" w:hAnsi="仿宋" w:eastAsia="仿宋" w:cs="仿宋"/>
                <w:bCs/>
                <w:sz w:val="22"/>
              </w:rPr>
              <w:t>国土空间规划所</w:t>
            </w:r>
          </w:p>
        </w:tc>
      </w:tr>
      <w:tr w14:paraId="0EACB41F">
        <w:tblPrEx>
          <w:tblCellMar>
            <w:top w:w="0" w:type="dxa"/>
            <w:left w:w="108" w:type="dxa"/>
            <w:bottom w:w="0" w:type="dxa"/>
            <w:right w:w="108" w:type="dxa"/>
          </w:tblCellMar>
        </w:tblPrEx>
        <w:trPr>
          <w:trHeight w:val="317" w:hRule="atLeast"/>
        </w:trPr>
        <w:tc>
          <w:tcPr>
            <w:tcW w:w="2231" w:type="dxa"/>
            <w:vAlign w:val="center"/>
          </w:tcPr>
          <w:p w14:paraId="0FF8C3CB">
            <w:pPr>
              <w:snapToGrid w:val="0"/>
              <w:contextualSpacing/>
              <w:rPr>
                <w:rFonts w:ascii="仿宋" w:hAnsi="仿宋" w:eastAsia="仿宋" w:cs="仿宋"/>
                <w:bCs/>
                <w:sz w:val="22"/>
              </w:rPr>
            </w:pPr>
            <w:r>
              <w:rPr>
                <w:rFonts w:hint="eastAsia" w:ascii="仿宋" w:hAnsi="仿宋" w:eastAsia="仿宋" w:cs="仿宋"/>
                <w:bCs/>
                <w:sz w:val="22"/>
              </w:rPr>
              <w:t>部 门 负 责 人</w:t>
            </w:r>
          </w:p>
        </w:tc>
        <w:tc>
          <w:tcPr>
            <w:tcW w:w="6277" w:type="dxa"/>
            <w:vAlign w:val="center"/>
          </w:tcPr>
          <w:p w14:paraId="1F1B2902">
            <w:pPr>
              <w:snapToGrid w:val="0"/>
              <w:contextualSpacing/>
              <w:rPr>
                <w:rFonts w:ascii="仿宋" w:hAnsi="仿宋" w:eastAsia="仿宋" w:cs="仿宋"/>
                <w:bCs/>
                <w:sz w:val="22"/>
              </w:rPr>
            </w:pPr>
            <w:r>
              <w:rPr>
                <w:rFonts w:hint="eastAsia" w:ascii="仿宋" w:hAnsi="仿宋" w:eastAsia="仿宋" w:cs="仿宋"/>
                <w:bCs/>
                <w:sz w:val="22"/>
              </w:rPr>
              <w:t>张宗敏（高级工程师、国家注册规划师）</w:t>
            </w:r>
          </w:p>
        </w:tc>
      </w:tr>
      <w:tr w14:paraId="557065DA">
        <w:tblPrEx>
          <w:tblCellMar>
            <w:top w:w="0" w:type="dxa"/>
            <w:left w:w="108" w:type="dxa"/>
            <w:bottom w:w="0" w:type="dxa"/>
            <w:right w:w="108" w:type="dxa"/>
          </w:tblCellMar>
        </w:tblPrEx>
        <w:trPr>
          <w:trHeight w:val="360" w:hRule="atLeast"/>
        </w:trPr>
        <w:tc>
          <w:tcPr>
            <w:tcW w:w="2231" w:type="dxa"/>
            <w:vAlign w:val="center"/>
          </w:tcPr>
          <w:p w14:paraId="14C99AF3">
            <w:pPr>
              <w:snapToGrid w:val="0"/>
              <w:contextualSpacing/>
              <w:rPr>
                <w:rFonts w:ascii="仿宋" w:hAnsi="仿宋" w:eastAsia="仿宋" w:cs="仿宋"/>
                <w:bCs/>
                <w:sz w:val="22"/>
              </w:rPr>
            </w:pPr>
            <w:r>
              <w:rPr>
                <w:rFonts w:hint="eastAsia" w:ascii="仿宋" w:hAnsi="仿宋" w:eastAsia="仿宋" w:cs="仿宋"/>
                <w:bCs/>
                <w:sz w:val="22"/>
              </w:rPr>
              <w:t>项目技术负责人</w:t>
            </w:r>
          </w:p>
        </w:tc>
        <w:tc>
          <w:tcPr>
            <w:tcW w:w="6277" w:type="dxa"/>
            <w:vAlign w:val="center"/>
          </w:tcPr>
          <w:p w14:paraId="5AB7D678">
            <w:pPr>
              <w:snapToGrid w:val="0"/>
              <w:contextualSpacing/>
              <w:rPr>
                <w:rFonts w:ascii="仿宋" w:hAnsi="仿宋" w:eastAsia="仿宋" w:cs="仿宋"/>
                <w:bCs/>
                <w:sz w:val="22"/>
              </w:rPr>
            </w:pPr>
            <w:r>
              <w:rPr>
                <w:rFonts w:hint="eastAsia" w:ascii="仿宋" w:hAnsi="仿宋" w:eastAsia="仿宋" w:cs="仿宋"/>
                <w:bCs/>
                <w:sz w:val="22"/>
              </w:rPr>
              <w:t>张宗敏（高级工程师、国家注册规划师）</w:t>
            </w:r>
          </w:p>
        </w:tc>
      </w:tr>
      <w:tr w14:paraId="3B80FA60">
        <w:tblPrEx>
          <w:tblCellMar>
            <w:top w:w="0" w:type="dxa"/>
            <w:left w:w="108" w:type="dxa"/>
            <w:bottom w:w="0" w:type="dxa"/>
            <w:right w:w="108" w:type="dxa"/>
          </w:tblCellMar>
        </w:tblPrEx>
        <w:trPr>
          <w:trHeight w:val="317" w:hRule="atLeast"/>
        </w:trPr>
        <w:tc>
          <w:tcPr>
            <w:tcW w:w="2231" w:type="dxa"/>
            <w:vAlign w:val="center"/>
          </w:tcPr>
          <w:p w14:paraId="44579FF0">
            <w:pPr>
              <w:snapToGrid w:val="0"/>
              <w:contextualSpacing/>
              <w:rPr>
                <w:rFonts w:ascii="仿宋" w:hAnsi="仿宋" w:eastAsia="仿宋" w:cs="仿宋"/>
                <w:bCs/>
                <w:sz w:val="22"/>
              </w:rPr>
            </w:pPr>
            <w:r>
              <w:rPr>
                <w:rFonts w:hint="eastAsia" w:ascii="仿宋" w:hAnsi="仿宋" w:eastAsia="仿宋" w:cs="仿宋"/>
                <w:bCs/>
                <w:sz w:val="22"/>
              </w:rPr>
              <w:t>编  制  人  员</w:t>
            </w:r>
          </w:p>
        </w:tc>
        <w:tc>
          <w:tcPr>
            <w:tcW w:w="6277" w:type="dxa"/>
            <w:vAlign w:val="center"/>
          </w:tcPr>
          <w:p w14:paraId="03F1AAF5">
            <w:pPr>
              <w:snapToGrid w:val="0"/>
              <w:contextualSpacing/>
              <w:rPr>
                <w:rFonts w:ascii="仿宋" w:hAnsi="仿宋" w:eastAsia="仿宋" w:cs="仿宋"/>
                <w:bCs/>
                <w:sz w:val="22"/>
              </w:rPr>
            </w:pPr>
            <w:r>
              <w:rPr>
                <w:rFonts w:hint="eastAsia" w:ascii="仿宋" w:hAnsi="仿宋" w:eastAsia="仿宋" w:cs="仿宋"/>
                <w:bCs/>
                <w:sz w:val="22"/>
              </w:rPr>
              <w:t>王巨宝（国家注册规划师）</w:t>
            </w:r>
          </w:p>
        </w:tc>
      </w:tr>
      <w:tr w14:paraId="18AB7E4B">
        <w:tblPrEx>
          <w:tblCellMar>
            <w:top w:w="0" w:type="dxa"/>
            <w:left w:w="108" w:type="dxa"/>
            <w:bottom w:w="0" w:type="dxa"/>
            <w:right w:w="108" w:type="dxa"/>
          </w:tblCellMar>
        </w:tblPrEx>
        <w:trPr>
          <w:trHeight w:val="330" w:hRule="atLeast"/>
        </w:trPr>
        <w:tc>
          <w:tcPr>
            <w:tcW w:w="2231" w:type="dxa"/>
            <w:vAlign w:val="center"/>
          </w:tcPr>
          <w:p w14:paraId="669FE5C0">
            <w:pPr>
              <w:snapToGrid w:val="0"/>
              <w:contextualSpacing/>
              <w:rPr>
                <w:rFonts w:ascii="仿宋" w:hAnsi="仿宋" w:eastAsia="仿宋" w:cs="仿宋"/>
                <w:bCs/>
                <w:sz w:val="22"/>
              </w:rPr>
            </w:pPr>
          </w:p>
        </w:tc>
        <w:tc>
          <w:tcPr>
            <w:tcW w:w="6277" w:type="dxa"/>
            <w:vAlign w:val="center"/>
          </w:tcPr>
          <w:p w14:paraId="3AE938F4">
            <w:pPr>
              <w:snapToGrid w:val="0"/>
              <w:contextualSpacing/>
              <w:rPr>
                <w:rFonts w:ascii="仿宋" w:hAnsi="仿宋" w:eastAsia="仿宋" w:cs="仿宋"/>
                <w:bCs/>
                <w:sz w:val="22"/>
              </w:rPr>
            </w:pPr>
            <w:r>
              <w:rPr>
                <w:rFonts w:hint="eastAsia" w:ascii="仿宋" w:hAnsi="仿宋" w:eastAsia="仿宋" w:cs="仿宋"/>
                <w:bCs/>
                <w:sz w:val="22"/>
              </w:rPr>
              <w:t>曾  艳（高级工程师、国家注册规划师）</w:t>
            </w:r>
          </w:p>
        </w:tc>
      </w:tr>
      <w:tr w14:paraId="3AFF63FF">
        <w:tblPrEx>
          <w:tblCellMar>
            <w:top w:w="0" w:type="dxa"/>
            <w:left w:w="108" w:type="dxa"/>
            <w:bottom w:w="0" w:type="dxa"/>
            <w:right w:w="108" w:type="dxa"/>
          </w:tblCellMar>
        </w:tblPrEx>
        <w:trPr>
          <w:trHeight w:val="229" w:hRule="atLeast"/>
        </w:trPr>
        <w:tc>
          <w:tcPr>
            <w:tcW w:w="2231" w:type="dxa"/>
            <w:vAlign w:val="center"/>
          </w:tcPr>
          <w:p w14:paraId="7D23CB48">
            <w:pPr>
              <w:snapToGrid w:val="0"/>
              <w:contextualSpacing/>
              <w:rPr>
                <w:rFonts w:ascii="仿宋" w:hAnsi="仿宋" w:eastAsia="仿宋" w:cs="仿宋"/>
                <w:bCs/>
                <w:sz w:val="22"/>
              </w:rPr>
            </w:pPr>
          </w:p>
        </w:tc>
        <w:tc>
          <w:tcPr>
            <w:tcW w:w="6277" w:type="dxa"/>
            <w:vAlign w:val="center"/>
          </w:tcPr>
          <w:p w14:paraId="717AF67C">
            <w:pPr>
              <w:snapToGrid w:val="0"/>
              <w:contextualSpacing/>
              <w:rPr>
                <w:rFonts w:ascii="仿宋" w:hAnsi="仿宋" w:eastAsia="仿宋" w:cs="仿宋"/>
                <w:bCs/>
                <w:sz w:val="22"/>
              </w:rPr>
            </w:pPr>
            <w:r>
              <w:rPr>
                <w:rFonts w:hint="eastAsia" w:ascii="仿宋" w:hAnsi="仿宋" w:eastAsia="仿宋" w:cs="仿宋"/>
                <w:bCs/>
                <w:sz w:val="22"/>
              </w:rPr>
              <w:t>吴红萍（规划工程师）</w:t>
            </w:r>
          </w:p>
        </w:tc>
      </w:tr>
      <w:tr w14:paraId="250A0922">
        <w:tblPrEx>
          <w:tblCellMar>
            <w:top w:w="0" w:type="dxa"/>
            <w:left w:w="108" w:type="dxa"/>
            <w:bottom w:w="0" w:type="dxa"/>
            <w:right w:w="108" w:type="dxa"/>
          </w:tblCellMar>
        </w:tblPrEx>
        <w:trPr>
          <w:trHeight w:val="199" w:hRule="atLeast"/>
        </w:trPr>
        <w:tc>
          <w:tcPr>
            <w:tcW w:w="2231" w:type="dxa"/>
            <w:vAlign w:val="center"/>
          </w:tcPr>
          <w:p w14:paraId="31F01F29">
            <w:pPr>
              <w:snapToGrid w:val="0"/>
              <w:contextualSpacing/>
              <w:rPr>
                <w:rFonts w:ascii="仿宋" w:hAnsi="仿宋" w:eastAsia="仿宋" w:cs="仿宋"/>
                <w:bCs/>
                <w:spacing w:val="26"/>
                <w:sz w:val="22"/>
              </w:rPr>
            </w:pPr>
          </w:p>
        </w:tc>
        <w:tc>
          <w:tcPr>
            <w:tcW w:w="6277" w:type="dxa"/>
            <w:vAlign w:val="center"/>
          </w:tcPr>
          <w:p w14:paraId="723884F3">
            <w:pPr>
              <w:snapToGrid w:val="0"/>
              <w:contextualSpacing/>
              <w:rPr>
                <w:rFonts w:ascii="仿宋" w:hAnsi="仿宋" w:eastAsia="仿宋" w:cs="仿宋"/>
                <w:bCs/>
                <w:sz w:val="22"/>
              </w:rPr>
            </w:pPr>
            <w:r>
              <w:rPr>
                <w:rFonts w:hint="eastAsia" w:ascii="仿宋" w:hAnsi="仿宋" w:eastAsia="仿宋" w:cs="仿宋"/>
                <w:bCs/>
                <w:sz w:val="22"/>
              </w:rPr>
              <w:t>张  超（规划工程师）</w:t>
            </w:r>
          </w:p>
        </w:tc>
      </w:tr>
      <w:tr w14:paraId="10FA9331">
        <w:tblPrEx>
          <w:tblCellMar>
            <w:top w:w="0" w:type="dxa"/>
            <w:left w:w="108" w:type="dxa"/>
            <w:bottom w:w="0" w:type="dxa"/>
            <w:right w:w="108" w:type="dxa"/>
          </w:tblCellMar>
        </w:tblPrEx>
        <w:trPr>
          <w:trHeight w:val="375" w:hRule="atLeast"/>
        </w:trPr>
        <w:tc>
          <w:tcPr>
            <w:tcW w:w="2231" w:type="dxa"/>
            <w:vAlign w:val="center"/>
          </w:tcPr>
          <w:p w14:paraId="050DBEDC">
            <w:pPr>
              <w:snapToGrid w:val="0"/>
              <w:contextualSpacing/>
              <w:rPr>
                <w:rFonts w:ascii="仿宋" w:hAnsi="仿宋" w:eastAsia="仿宋" w:cs="仿宋"/>
                <w:bCs/>
                <w:sz w:val="22"/>
              </w:rPr>
            </w:pPr>
          </w:p>
        </w:tc>
        <w:tc>
          <w:tcPr>
            <w:tcW w:w="6277" w:type="dxa"/>
            <w:vAlign w:val="center"/>
          </w:tcPr>
          <w:p w14:paraId="068616F0">
            <w:pPr>
              <w:snapToGrid w:val="0"/>
              <w:contextualSpacing/>
              <w:rPr>
                <w:rFonts w:ascii="仿宋" w:hAnsi="仿宋" w:eastAsia="仿宋" w:cs="仿宋"/>
                <w:bCs/>
                <w:sz w:val="22"/>
              </w:rPr>
            </w:pPr>
            <w:r>
              <w:rPr>
                <w:rFonts w:hint="eastAsia" w:ascii="仿宋" w:hAnsi="仿宋" w:eastAsia="仿宋" w:cs="仿宋"/>
                <w:bCs/>
                <w:sz w:val="22"/>
              </w:rPr>
              <w:t>谢  茂（助理工程师）</w:t>
            </w:r>
          </w:p>
        </w:tc>
      </w:tr>
    </w:tbl>
    <w:p w14:paraId="0271644A">
      <w:pPr>
        <w:tabs>
          <w:tab w:val="left" w:pos="2269"/>
        </w:tabs>
        <w:jc w:val="left"/>
        <w:sectPr>
          <w:pgSz w:w="11906" w:h="16838"/>
          <w:pgMar w:top="1440" w:right="1800" w:bottom="1440" w:left="1800" w:header="851" w:footer="992" w:gutter="0"/>
          <w:cols w:space="425" w:num="1"/>
          <w:docGrid w:type="lines" w:linePitch="312" w:charSpace="0"/>
        </w:sectPr>
      </w:pPr>
    </w:p>
    <w:p w14:paraId="46EA2E55">
      <w:pPr>
        <w:jc w:val="center"/>
        <w:rPr>
          <w:rFonts w:ascii="仿宋" w:hAnsi="仿宋" w:eastAsia="仿宋" w:cs="仿宋"/>
          <w:sz w:val="48"/>
          <w:szCs w:val="48"/>
        </w:rPr>
      </w:pPr>
    </w:p>
    <w:p w14:paraId="46194A49">
      <w:pPr>
        <w:jc w:val="center"/>
        <w:rPr>
          <w:rFonts w:ascii="仿宋" w:hAnsi="仿宋" w:eastAsia="仿宋" w:cs="仿宋"/>
          <w:sz w:val="48"/>
          <w:szCs w:val="48"/>
        </w:rPr>
      </w:pPr>
      <w:r>
        <w:rPr>
          <w:rFonts w:hint="eastAsia" w:ascii="仿宋" w:hAnsi="仿宋" w:eastAsia="仿宋" w:cs="仿宋"/>
          <w:sz w:val="48"/>
          <w:szCs w:val="48"/>
        </w:rPr>
        <w:t>重庆市荣昌区万灵镇沙堡村村庄</w:t>
      </w:r>
    </w:p>
    <w:p w14:paraId="6F8C9795">
      <w:pPr>
        <w:jc w:val="center"/>
        <w:rPr>
          <w:rFonts w:ascii="仿宋" w:hAnsi="仿宋" w:eastAsia="仿宋" w:cs="仿宋"/>
          <w:sz w:val="48"/>
          <w:szCs w:val="48"/>
        </w:rPr>
      </w:pPr>
      <w:r>
        <w:rPr>
          <w:rFonts w:hint="eastAsia" w:ascii="仿宋" w:hAnsi="仿宋" w:eastAsia="仿宋" w:cs="仿宋"/>
          <w:sz w:val="48"/>
          <w:szCs w:val="48"/>
        </w:rPr>
        <w:t>规划（2024-2035年）</w:t>
      </w:r>
    </w:p>
    <w:p w14:paraId="4BEDD59D">
      <w:pPr>
        <w:jc w:val="center"/>
        <w:rPr>
          <w:rFonts w:ascii="宋体" w:hAnsi="宋体" w:eastAsia="宋体"/>
          <w:szCs w:val="24"/>
        </w:rPr>
      </w:pPr>
    </w:p>
    <w:p w14:paraId="328CF6E0">
      <w:pPr>
        <w:jc w:val="center"/>
        <w:rPr>
          <w:rFonts w:ascii="宋体" w:hAnsi="宋体" w:eastAsia="宋体"/>
          <w:szCs w:val="24"/>
        </w:rPr>
      </w:pPr>
    </w:p>
    <w:p w14:paraId="61FE663F">
      <w:pPr>
        <w:jc w:val="center"/>
        <w:rPr>
          <w:rFonts w:ascii="宋体" w:hAnsi="宋体" w:eastAsia="宋体"/>
          <w:szCs w:val="24"/>
        </w:rPr>
      </w:pPr>
    </w:p>
    <w:p w14:paraId="5DDFA66A">
      <w:pPr>
        <w:jc w:val="center"/>
        <w:rPr>
          <w:rFonts w:ascii="宋体" w:hAnsi="宋体" w:eastAsia="宋体"/>
          <w:szCs w:val="24"/>
        </w:rPr>
      </w:pPr>
    </w:p>
    <w:p w14:paraId="54B429D7">
      <w:pPr>
        <w:jc w:val="center"/>
        <w:rPr>
          <w:rFonts w:ascii="宋体" w:hAnsi="宋体" w:eastAsia="宋体"/>
          <w:szCs w:val="24"/>
        </w:rPr>
      </w:pPr>
    </w:p>
    <w:p w14:paraId="41B5B46C">
      <w:pPr>
        <w:jc w:val="center"/>
        <w:rPr>
          <w:rFonts w:hint="eastAsia" w:ascii="仿宋" w:hAnsi="仿宋" w:eastAsia="仿宋" w:cs="仿宋"/>
          <w:sz w:val="44"/>
          <w:szCs w:val="52"/>
          <w:lang w:val="en-US" w:eastAsia="zh-CN"/>
        </w:rPr>
      </w:pPr>
      <w:r>
        <w:rPr>
          <w:rFonts w:hint="eastAsia" w:ascii="仿宋" w:hAnsi="仿宋" w:eastAsia="仿宋" w:cs="仿宋"/>
          <w:sz w:val="44"/>
          <w:szCs w:val="52"/>
        </w:rPr>
        <w:t>规划说明</w:t>
      </w:r>
      <w:r>
        <w:rPr>
          <w:rFonts w:hint="eastAsia" w:ascii="仿宋" w:hAnsi="仿宋" w:eastAsia="仿宋" w:cs="仿宋"/>
          <w:sz w:val="44"/>
          <w:szCs w:val="52"/>
          <w:lang w:val="en-US" w:eastAsia="zh-CN"/>
        </w:rPr>
        <w:t>书</w:t>
      </w:r>
    </w:p>
    <w:p w14:paraId="65433C24">
      <w:pPr>
        <w:spacing w:line="560" w:lineRule="exact"/>
        <w:jc w:val="center"/>
        <w:rPr>
          <w:rFonts w:ascii="宋体" w:hAnsi="宋体" w:eastAsia="宋体"/>
          <w:szCs w:val="24"/>
        </w:rPr>
      </w:pPr>
    </w:p>
    <w:p w14:paraId="717A5A92">
      <w:pPr>
        <w:spacing w:line="560" w:lineRule="exact"/>
        <w:jc w:val="center"/>
        <w:rPr>
          <w:rFonts w:ascii="宋体" w:hAnsi="宋体" w:eastAsia="宋体"/>
          <w:szCs w:val="24"/>
        </w:rPr>
      </w:pPr>
    </w:p>
    <w:p w14:paraId="0F3C3D39">
      <w:pPr>
        <w:spacing w:line="560" w:lineRule="exact"/>
        <w:jc w:val="center"/>
        <w:rPr>
          <w:rFonts w:ascii="宋体" w:hAnsi="宋体" w:eastAsia="宋体"/>
          <w:szCs w:val="24"/>
        </w:rPr>
      </w:pPr>
    </w:p>
    <w:p w14:paraId="245E1BA0">
      <w:pPr>
        <w:spacing w:line="560" w:lineRule="exact"/>
        <w:jc w:val="center"/>
        <w:rPr>
          <w:rFonts w:ascii="宋体" w:hAnsi="宋体" w:eastAsia="宋体"/>
          <w:szCs w:val="24"/>
        </w:rPr>
      </w:pPr>
    </w:p>
    <w:p w14:paraId="2EB71AE4">
      <w:pPr>
        <w:spacing w:line="560" w:lineRule="exact"/>
        <w:jc w:val="center"/>
        <w:rPr>
          <w:rFonts w:ascii="宋体" w:hAnsi="宋体" w:eastAsia="宋体"/>
          <w:szCs w:val="24"/>
        </w:rPr>
      </w:pPr>
    </w:p>
    <w:p w14:paraId="6B662A70">
      <w:pPr>
        <w:spacing w:line="560" w:lineRule="exact"/>
        <w:jc w:val="center"/>
        <w:rPr>
          <w:rFonts w:ascii="宋体" w:hAnsi="宋体" w:eastAsia="宋体"/>
          <w:szCs w:val="24"/>
        </w:rPr>
      </w:pPr>
    </w:p>
    <w:p w14:paraId="1011C104">
      <w:pPr>
        <w:spacing w:line="560" w:lineRule="exact"/>
        <w:jc w:val="center"/>
        <w:rPr>
          <w:rFonts w:ascii="宋体" w:hAnsi="宋体" w:eastAsia="宋体"/>
          <w:szCs w:val="24"/>
        </w:rPr>
      </w:pPr>
    </w:p>
    <w:p w14:paraId="3E492963">
      <w:pPr>
        <w:spacing w:line="560" w:lineRule="exact"/>
        <w:jc w:val="center"/>
        <w:rPr>
          <w:rFonts w:ascii="宋体" w:hAnsi="宋体" w:eastAsia="宋体"/>
          <w:szCs w:val="24"/>
        </w:rPr>
      </w:pPr>
    </w:p>
    <w:p w14:paraId="2339824A">
      <w:pPr>
        <w:spacing w:line="560" w:lineRule="exact"/>
        <w:jc w:val="center"/>
        <w:rPr>
          <w:rFonts w:ascii="宋体" w:hAnsi="宋体" w:eastAsia="宋体"/>
          <w:szCs w:val="24"/>
        </w:rPr>
      </w:pPr>
    </w:p>
    <w:p w14:paraId="7C18E80A">
      <w:pPr>
        <w:spacing w:line="560" w:lineRule="exact"/>
        <w:jc w:val="center"/>
        <w:rPr>
          <w:rFonts w:ascii="宋体" w:hAnsi="宋体" w:eastAsia="宋体"/>
          <w:szCs w:val="24"/>
        </w:rPr>
      </w:pPr>
    </w:p>
    <w:p w14:paraId="48956D83">
      <w:pPr>
        <w:spacing w:line="560" w:lineRule="exact"/>
        <w:jc w:val="center"/>
        <w:rPr>
          <w:rFonts w:ascii="宋体" w:hAnsi="宋体" w:eastAsia="宋体"/>
          <w:szCs w:val="24"/>
        </w:rPr>
      </w:pPr>
    </w:p>
    <w:p w14:paraId="1483DAD4">
      <w:pPr>
        <w:spacing w:line="560" w:lineRule="exact"/>
        <w:jc w:val="center"/>
        <w:rPr>
          <w:rFonts w:ascii="宋体" w:hAnsi="宋体" w:eastAsia="宋体"/>
          <w:szCs w:val="24"/>
        </w:rPr>
      </w:pPr>
    </w:p>
    <w:p w14:paraId="70BC1BF7">
      <w:pPr>
        <w:spacing w:line="560" w:lineRule="exact"/>
        <w:jc w:val="center"/>
        <w:rPr>
          <w:rFonts w:ascii="宋体" w:hAnsi="宋体" w:eastAsia="宋体"/>
          <w:szCs w:val="24"/>
        </w:rPr>
      </w:pPr>
    </w:p>
    <w:p w14:paraId="7D97F122">
      <w:pPr>
        <w:spacing w:line="560" w:lineRule="exact"/>
        <w:jc w:val="center"/>
        <w:rPr>
          <w:rFonts w:ascii="宋体" w:hAnsi="宋体" w:eastAsia="宋体"/>
          <w:szCs w:val="24"/>
        </w:rPr>
      </w:pPr>
    </w:p>
    <w:p w14:paraId="3506E06C">
      <w:pPr>
        <w:spacing w:line="560" w:lineRule="exact"/>
        <w:jc w:val="center"/>
        <w:rPr>
          <w:rFonts w:ascii="宋体" w:hAnsi="宋体" w:eastAsia="宋体"/>
          <w:szCs w:val="24"/>
        </w:rPr>
      </w:pPr>
    </w:p>
    <w:p w14:paraId="54E72493">
      <w:pPr>
        <w:spacing w:line="560" w:lineRule="exact"/>
        <w:jc w:val="center"/>
        <w:rPr>
          <w:rFonts w:ascii="宋体" w:hAnsi="宋体" w:eastAsia="宋体"/>
          <w:szCs w:val="24"/>
        </w:rPr>
      </w:pPr>
    </w:p>
    <w:p w14:paraId="49DC88C6">
      <w:pPr>
        <w:spacing w:line="560" w:lineRule="exact"/>
        <w:jc w:val="center"/>
        <w:rPr>
          <w:rFonts w:ascii="宋体" w:hAnsi="宋体" w:eastAsia="宋体"/>
          <w:szCs w:val="24"/>
        </w:rPr>
      </w:pPr>
    </w:p>
    <w:p w14:paraId="08E10F9E"/>
    <w:sdt>
      <w:sdtPr>
        <w:rPr>
          <w:rFonts w:asciiTheme="minorHAnsi" w:hAnsiTheme="minorHAnsi" w:eastAsiaTheme="minorEastAsia" w:cstheme="minorBidi"/>
          <w:b w:val="0"/>
          <w:bCs w:val="0"/>
          <w:color w:val="auto"/>
          <w:kern w:val="2"/>
          <w:sz w:val="21"/>
          <w:szCs w:val="22"/>
          <w:lang w:val="zh-CN"/>
        </w:rPr>
        <w:id w:val="-30324660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0116CD79">
          <w:pPr>
            <w:pStyle w:val="18"/>
            <w:pageBreakBefore w:val="0"/>
            <w:kinsoku/>
            <w:wordWrap/>
            <w:overflowPunct/>
            <w:topLinePunct w:val="0"/>
            <w:autoSpaceDE/>
            <w:autoSpaceDN/>
            <w:bidi w:val="0"/>
            <w:adjustRightInd/>
            <w:snapToGrid/>
            <w:spacing w:line="500" w:lineRule="exact"/>
            <w:jc w:val="center"/>
            <w:textAlignment w:val="auto"/>
            <w:rPr>
              <w:rFonts w:ascii="黑体" w:hAnsi="黑体" w:eastAsia="黑体"/>
              <w:color w:val="auto"/>
              <w:sz w:val="32"/>
              <w:szCs w:val="32"/>
            </w:rPr>
          </w:pPr>
          <w:r>
            <w:rPr>
              <w:rFonts w:ascii="黑体" w:hAnsi="黑体" w:eastAsia="黑体"/>
              <w:color w:val="auto"/>
              <w:sz w:val="32"/>
              <w:szCs w:val="32"/>
              <w:lang w:val="zh-CN"/>
            </w:rPr>
            <w:t>目</w:t>
          </w:r>
          <w:r>
            <w:rPr>
              <w:rFonts w:hint="eastAsia" w:ascii="黑体" w:hAnsi="黑体" w:eastAsia="黑体"/>
              <w:color w:val="auto"/>
              <w:sz w:val="32"/>
              <w:szCs w:val="32"/>
              <w:lang w:val="zh-CN"/>
            </w:rPr>
            <w:t xml:space="preserve">  </w:t>
          </w:r>
          <w:r>
            <w:rPr>
              <w:rFonts w:ascii="黑体" w:hAnsi="黑体" w:eastAsia="黑体"/>
              <w:color w:val="auto"/>
              <w:sz w:val="32"/>
              <w:szCs w:val="32"/>
              <w:lang w:val="zh-CN"/>
            </w:rPr>
            <w:t>录</w:t>
          </w:r>
        </w:p>
        <w:p w14:paraId="52980657">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ascii="黑体" w:hAnsi="黑体" w:eastAsia="黑体"/>
              <w:sz w:val="24"/>
              <w:szCs w:val="24"/>
            </w:rPr>
            <w:fldChar w:fldCharType="begin"/>
          </w:r>
          <w:r>
            <w:rPr>
              <w:rFonts w:ascii="黑体" w:hAnsi="黑体" w:eastAsia="黑体"/>
              <w:sz w:val="24"/>
              <w:szCs w:val="24"/>
            </w:rPr>
            <w:instrText xml:space="preserve"> TOC \o "1-3" \h \z \u </w:instrText>
          </w:r>
          <w:r>
            <w:rPr>
              <w:rFonts w:ascii="黑体" w:hAnsi="黑体" w:eastAsia="黑体"/>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_Toc131 </w:instrText>
          </w:r>
          <w:r>
            <w:rPr>
              <w:rFonts w:hint="eastAsia" w:ascii="黑体" w:hAnsi="黑体" w:eastAsia="黑体" w:cs="黑体"/>
              <w:sz w:val="24"/>
              <w:szCs w:val="24"/>
            </w:rPr>
            <w:fldChar w:fldCharType="separate"/>
          </w:r>
          <w:r>
            <w:rPr>
              <w:rFonts w:hint="eastAsia" w:ascii="黑体" w:hAnsi="黑体" w:eastAsia="黑体" w:cs="黑体"/>
              <w:sz w:val="24"/>
              <w:szCs w:val="24"/>
            </w:rPr>
            <w:t>第一章 项目背景与基本情况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_Toc131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49DD939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_Toc118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1、项目背景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0E3C96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_Toc6601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_Toc6601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744FE3E9">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_Toc25594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第二章  项目选址论证情况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_Toc25594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68EA8F4">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_Toc24026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第三章  项目范围与重要空间管控线的关系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_Toc24026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7A9D155">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_Toc22034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1、项目范围与耕地和永久基本农田的关系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_Toc22034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3818277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_Toc11852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2、项目范围与生态保护红线的关系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_Toc11852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2C8157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_Toc19367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3、项目范围与城镇开发边界的关系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_Toc19367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008017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_Toc1901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4、项目范围与历史文化保护线的关系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_Toc1901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1A6446F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_Toc18121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5、项目范围与灾害风险控制线的关系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_Toc18121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3E94AFA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_Toc26138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6、项目范围与河道管理线的关系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_Toc26138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2670A5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_Toc4011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7、项目范围与濑溪河湿地公园的关系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_Toc4011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04259D8">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_Toc23901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lang w:val="en-US" w:eastAsia="zh-CN"/>
            </w:rPr>
            <w:t>8</w:t>
          </w:r>
          <w:r>
            <w:rPr>
              <w:rFonts w:hint="eastAsia" w:ascii="黑体" w:hAnsi="黑体" w:eastAsia="黑体" w:cs="黑体"/>
              <w:sz w:val="24"/>
              <w:szCs w:val="24"/>
            </w:rPr>
            <w:t>、项目范围与</w:t>
          </w:r>
          <w:r>
            <w:rPr>
              <w:rFonts w:hint="eastAsia" w:ascii="黑体" w:hAnsi="黑体" w:eastAsia="黑体" w:cs="黑体"/>
              <w:sz w:val="24"/>
              <w:szCs w:val="24"/>
              <w:lang w:val="en-US" w:eastAsia="zh-CN"/>
            </w:rPr>
            <w:t>饮用水源保护区</w:t>
          </w:r>
          <w:r>
            <w:rPr>
              <w:rFonts w:hint="eastAsia" w:ascii="黑体" w:hAnsi="黑体" w:eastAsia="黑体" w:cs="黑体"/>
              <w:sz w:val="24"/>
              <w:szCs w:val="24"/>
            </w:rPr>
            <w:t>的关系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_Toc23901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1E459F8B">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_Toc12872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第四章 项目用地布局与主要规划指标情况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_Toc12872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BF80DE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_Toc25080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1、项目用地布局</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_Toc25080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FBE249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_Toc20034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2、与主要规划指标情况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_Toc20034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0EB5EB5B">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_Toc17222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第五章  项目安全与防灾减灾要求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_Toc17222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78A0E5D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_Toc29380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1、防震抗震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_Toc29380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15767A1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_Toc17429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w:t>
          </w:r>
          <w:r>
            <w:rPr>
              <w:rFonts w:hint="eastAsia" w:ascii="黑体" w:hAnsi="黑体" w:eastAsia="黑体" w:cs="黑体"/>
              <w:sz w:val="24"/>
              <w:szCs w:val="24"/>
              <w:lang w:val="en-US" w:eastAsia="zh-CN"/>
            </w:rPr>
            <w:t>防</w:t>
          </w:r>
          <w:r>
            <w:rPr>
              <w:rFonts w:hint="eastAsia" w:ascii="黑体" w:hAnsi="黑体" w:eastAsia="黑体" w:cs="黑体"/>
              <w:sz w:val="24"/>
              <w:szCs w:val="24"/>
            </w:rPr>
            <w:t>气象灾害</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_Toc17429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7F60A75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_Toc20080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3、防洪</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_Toc20080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0050C1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_Toc7017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4、防地质灾害</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_Toc7017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21BE3BF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_Toc31633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5、消防</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_Toc31633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7FE373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_Toc9291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6、人防</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_Toc9291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58FABF27">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_Toc13114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第六章 建筑风貌与地块控制指标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_Toc13114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41FE6C5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黑体" w:hAnsi="黑体" w:eastAsia="黑体" w:cs="黑体"/>
              <w:sz w:val="24"/>
              <w:szCs w:val="24"/>
            </w:r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_Toc32011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1、建筑风貌</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_Toc32011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14:paraId="5E94B7E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bCs/>
              <w:sz w:val="24"/>
              <w:szCs w:val="24"/>
              <w:lang w:val="zh-CN"/>
            </w:rPr>
            <w:fldChar w:fldCharType="begin"/>
          </w:r>
          <w:r>
            <w:rPr>
              <w:rFonts w:hint="eastAsia" w:ascii="黑体" w:hAnsi="黑体" w:eastAsia="黑体" w:cs="黑体"/>
              <w:bCs/>
              <w:sz w:val="24"/>
              <w:szCs w:val="24"/>
              <w:lang w:val="zh-CN"/>
            </w:rPr>
            <w:instrText xml:space="preserve"> HYPERLINK \l _Toc17905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2、地块控制指标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_Toc17905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r>
            <w:rPr>
              <w:rFonts w:ascii="黑体" w:hAnsi="黑体" w:eastAsia="黑体"/>
              <w:bCs/>
              <w:szCs w:val="24"/>
              <w:lang w:val="zh-CN"/>
            </w:rPr>
            <w:fldChar w:fldCharType="end"/>
          </w:r>
        </w:p>
      </w:sdtContent>
    </w:sdt>
    <w:p w14:paraId="6CC34C8F">
      <w:pPr>
        <w:pStyle w:val="2"/>
        <w:spacing w:line="360" w:lineRule="auto"/>
        <w:jc w:val="center"/>
        <w:rPr>
          <w:rFonts w:eastAsia="黑体"/>
          <w:sz w:val="32"/>
        </w:rPr>
      </w:pPr>
      <w:bookmarkStart w:id="1" w:name="_Toc131"/>
      <w:r>
        <w:rPr>
          <w:rFonts w:eastAsia="黑体"/>
          <w:sz w:val="32"/>
        </w:rPr>
        <w:t xml:space="preserve">第一章 </w:t>
      </w:r>
      <w:bookmarkEnd w:id="0"/>
      <w:r>
        <w:rPr>
          <w:rFonts w:hint="eastAsia" w:eastAsia="黑体"/>
          <w:sz w:val="32"/>
        </w:rPr>
        <w:t>项目背景与基本情况</w:t>
      </w:r>
      <w:bookmarkEnd w:id="1"/>
      <w:bookmarkStart w:id="35" w:name="_GoBack"/>
      <w:bookmarkEnd w:id="35"/>
    </w:p>
    <w:p w14:paraId="4791FCC7">
      <w:pPr>
        <w:pStyle w:val="3"/>
        <w:spacing w:before="0" w:after="0" w:line="360" w:lineRule="auto"/>
        <w:rPr>
          <w:rFonts w:ascii="Times New Roman" w:hAnsi="Times New Roman" w:eastAsia="黑体"/>
          <w:sz w:val="30"/>
          <w:szCs w:val="30"/>
        </w:rPr>
      </w:pPr>
      <w:bookmarkStart w:id="2" w:name="_Toc101186978"/>
      <w:bookmarkStart w:id="3" w:name="_Toc118"/>
      <w:bookmarkStart w:id="4" w:name="_Toc30015"/>
      <w:r>
        <w:rPr>
          <w:rFonts w:hint="eastAsia" w:ascii="Times New Roman" w:hAnsi="Times New Roman" w:eastAsia="黑体"/>
          <w:sz w:val="30"/>
          <w:szCs w:val="30"/>
        </w:rPr>
        <w:t>1、项目</w:t>
      </w:r>
      <w:r>
        <w:rPr>
          <w:rFonts w:ascii="Times New Roman" w:hAnsi="Times New Roman" w:eastAsia="黑体"/>
          <w:sz w:val="30"/>
          <w:szCs w:val="30"/>
        </w:rPr>
        <w:t>背景</w:t>
      </w:r>
      <w:bookmarkEnd w:id="2"/>
      <w:bookmarkEnd w:id="3"/>
      <w:bookmarkEnd w:id="4"/>
    </w:p>
    <w:p w14:paraId="5877B6C3">
      <w:pPr>
        <w:spacing w:line="360" w:lineRule="auto"/>
        <w:ind w:firstLine="560" w:firstLineChars="200"/>
        <w:rPr>
          <w:rFonts w:hint="eastAsia" w:eastAsia="仿宋"/>
          <w:sz w:val="28"/>
          <w:szCs w:val="28"/>
        </w:rPr>
      </w:pPr>
      <w:bookmarkStart w:id="5" w:name="_Toc101186979"/>
      <w:r>
        <w:rPr>
          <w:rFonts w:hint="eastAsia" w:eastAsia="仿宋"/>
          <w:sz w:val="28"/>
          <w:szCs w:val="28"/>
          <w:lang w:val="en-US" w:eastAsia="zh-CN"/>
        </w:rPr>
        <w:t>在2019年，为增强村规划实用性，强化管理，加快规划落地，助推脱贫攻坚、农村人居环境整治等重点任务，万灵镇人民政府组织编制了《荣昌区万灵镇沙堡村村庄规划（2019—2024年）》。该沙堡村村庄规划深化编制成果于2019年12月批复，该规划较好的指导了沙堡村的建设发展。但由于《重庆市荣昌区国土空间分区规划（2021—2035年）》于2024年批复。批复的上位规划传导的三区三线等约束指标与19版的村规划约束指标存在冲突。</w:t>
      </w:r>
    </w:p>
    <w:p w14:paraId="0FA5953B">
      <w:pPr>
        <w:spacing w:line="360" w:lineRule="auto"/>
        <w:ind w:firstLine="560" w:firstLineChars="200"/>
        <w:rPr>
          <w:rFonts w:eastAsia="仿宋"/>
          <w:color w:val="auto"/>
          <w:sz w:val="28"/>
          <w:szCs w:val="28"/>
        </w:rPr>
      </w:pPr>
      <w:r>
        <w:rPr>
          <w:rFonts w:hint="eastAsia" w:eastAsia="仿宋"/>
          <w:sz w:val="28"/>
          <w:szCs w:val="28"/>
        </w:rPr>
        <w:t>为贯彻落实党的二十大关于全面推进乡村振兴，坚持农业农村优先发展，巩固拓展脱贫攻坚成果，加快建设农业强国，扎实推动乡村产业、人才、文化、生态、组织振兴的战略，扎实推进荣昌区巴渝和美乡村建设，改善农村生产、生活、生态条件，按照“产业兴旺、生态宜居、乡风文明、治理有效、生活富裕”的总方针，依据《自然资源部中央农村工作领导小组办公室关于学习运用“千万工程”经验提高村庄规划编制质量和实效的通知》、《自然资源部办公厅关于进一步做好村庄规划工作的意见》（自然资办发</w:t>
      </w:r>
      <w:r>
        <w:rPr>
          <w:rFonts w:hint="eastAsia" w:ascii="Times New Roman" w:hAnsi="Times New Roman" w:eastAsia="仿宋" w:cs="Times New Roman"/>
          <w:color w:val="auto"/>
          <w:kern w:val="0"/>
          <w:sz w:val="28"/>
          <w:szCs w:val="28"/>
          <w:lang w:val="en-US" w:eastAsia="zh-CN" w:bidi="ar-SA"/>
        </w:rPr>
        <w:t>〔2020〕57</w:t>
      </w:r>
      <w:r>
        <w:rPr>
          <w:rFonts w:hint="eastAsia" w:eastAsia="仿宋"/>
          <w:sz w:val="28"/>
          <w:szCs w:val="28"/>
        </w:rPr>
        <w:t>号）、《重庆市规划和自然资源局关于加强村庄规划编制管理工作的通知》（渝规资</w:t>
      </w:r>
      <w:r>
        <w:rPr>
          <w:rFonts w:hint="eastAsia" w:ascii="Times New Roman" w:hAnsi="Times New Roman" w:eastAsia="仿宋" w:cs="Times New Roman"/>
          <w:color w:val="auto"/>
          <w:kern w:val="0"/>
          <w:sz w:val="28"/>
          <w:szCs w:val="28"/>
          <w:lang w:val="en-US" w:eastAsia="zh-CN" w:bidi="ar-SA"/>
        </w:rPr>
        <w:t>〔2024〕40</w:t>
      </w:r>
      <w:r>
        <w:rPr>
          <w:rFonts w:hint="eastAsia" w:eastAsia="仿宋"/>
          <w:sz w:val="28"/>
          <w:szCs w:val="28"/>
        </w:rPr>
        <w:t>号）等文件要求，重庆市荣昌区万灵镇人民政府结合实际，分类编制村庄规划，特组织</w:t>
      </w:r>
      <w:r>
        <w:rPr>
          <w:rFonts w:hint="eastAsia" w:eastAsia="仿宋"/>
          <w:sz w:val="28"/>
          <w:szCs w:val="28"/>
          <w:lang w:val="en-US" w:eastAsia="zh-CN"/>
        </w:rPr>
        <w:t>重新</w:t>
      </w:r>
      <w:r>
        <w:rPr>
          <w:rFonts w:hint="eastAsia" w:eastAsia="仿宋"/>
          <w:sz w:val="28"/>
          <w:szCs w:val="28"/>
        </w:rPr>
        <w:t>编制了《重庆市荣昌区万灵镇沙堡村村庄规划（</w:t>
      </w:r>
      <w:r>
        <w:rPr>
          <w:rFonts w:hint="eastAsia" w:ascii="Times New Roman" w:hAnsi="Times New Roman" w:eastAsia="仿宋" w:cs="Times New Roman"/>
          <w:color w:val="auto"/>
          <w:kern w:val="0"/>
          <w:sz w:val="28"/>
          <w:szCs w:val="28"/>
          <w:lang w:val="en-US" w:eastAsia="zh-CN" w:bidi="ar-SA"/>
        </w:rPr>
        <w:t>2024-2035</w:t>
      </w:r>
      <w:r>
        <w:rPr>
          <w:rFonts w:hint="eastAsia" w:eastAsia="仿宋"/>
          <w:sz w:val="28"/>
          <w:szCs w:val="28"/>
        </w:rPr>
        <w:t>年）》，</w:t>
      </w:r>
      <w:r>
        <w:rPr>
          <w:rFonts w:hint="eastAsia" w:eastAsia="仿宋"/>
          <w:color w:val="auto"/>
          <w:sz w:val="28"/>
          <w:szCs w:val="28"/>
        </w:rPr>
        <w:t>本次规划成果为项目式村规划，主要落实荣昌区万灵镇沙堡村防洪应急指挥管理用房和防洪应急停车位建设项目，以保障抢险防洪的基础设施建设。</w:t>
      </w:r>
    </w:p>
    <w:p w14:paraId="095EDE9E">
      <w:pPr>
        <w:pStyle w:val="3"/>
        <w:spacing w:before="0" w:after="0" w:line="360" w:lineRule="auto"/>
        <w:rPr>
          <w:rFonts w:ascii="Times New Roman" w:hAnsi="Times New Roman" w:eastAsia="黑体"/>
          <w:sz w:val="30"/>
          <w:szCs w:val="30"/>
        </w:rPr>
      </w:pPr>
      <w:bookmarkStart w:id="6" w:name="_Toc15868"/>
      <w:bookmarkStart w:id="7" w:name="_Toc6601"/>
      <w:r>
        <w:rPr>
          <w:rFonts w:hint="eastAsia" w:ascii="Times New Roman" w:hAnsi="Times New Roman" w:eastAsia="黑体"/>
          <w:sz w:val="30"/>
          <w:szCs w:val="30"/>
        </w:rPr>
        <w:t>2、</w:t>
      </w:r>
      <w:bookmarkEnd w:id="5"/>
      <w:bookmarkEnd w:id="6"/>
      <w:r>
        <w:rPr>
          <w:rFonts w:hint="eastAsia" w:ascii="Times New Roman" w:hAnsi="Times New Roman" w:eastAsia="黑体"/>
          <w:sz w:val="30"/>
          <w:szCs w:val="30"/>
        </w:rPr>
        <w:t>基本情况</w:t>
      </w:r>
      <w:bookmarkEnd w:id="7"/>
    </w:p>
    <w:p w14:paraId="5C9408C6">
      <w:pPr>
        <w:pStyle w:val="16"/>
        <w:spacing w:line="360" w:lineRule="auto"/>
        <w:ind w:firstLine="560" w:firstLineChars="200"/>
        <w:rPr>
          <w:rFonts w:eastAsia="仿宋"/>
          <w:color w:val="auto"/>
          <w:sz w:val="28"/>
          <w:szCs w:val="28"/>
        </w:rPr>
      </w:pPr>
      <w:r>
        <w:rPr>
          <w:rFonts w:hint="eastAsia" w:eastAsia="仿宋"/>
          <w:color w:val="auto"/>
          <w:sz w:val="28"/>
          <w:szCs w:val="28"/>
        </w:rPr>
        <w:t>荣昌区万灵镇沙堡村防洪应急指挥管理用房和防洪应急停车位建设项目。项目涉及两处管理用房和两处</w:t>
      </w:r>
      <w:r>
        <w:rPr>
          <w:rFonts w:hint="eastAsia" w:eastAsia="仿宋"/>
          <w:sz w:val="28"/>
          <w:szCs w:val="28"/>
        </w:rPr>
        <w:t>应急</w:t>
      </w:r>
      <w:r>
        <w:rPr>
          <w:rFonts w:hint="eastAsia" w:eastAsia="仿宋"/>
          <w:color w:val="auto"/>
          <w:sz w:val="28"/>
          <w:szCs w:val="28"/>
        </w:rPr>
        <w:t>停车场，两处管理用房分别位于沙堡村4社和5社，用地面积分别为0.05公顷、0.04公顷，不涉及永久基本农田（核实处置后）、生态保护红线、自然保护地</w:t>
      </w:r>
      <w:r>
        <w:rPr>
          <w:rFonts w:hint="eastAsia" w:eastAsia="仿宋"/>
          <w:color w:val="auto"/>
          <w:sz w:val="28"/>
          <w:szCs w:val="28"/>
          <w:lang w:eastAsia="zh-CN"/>
        </w:rPr>
        <w:t>、</w:t>
      </w:r>
      <w:r>
        <w:rPr>
          <w:rFonts w:hint="eastAsia" w:eastAsia="仿宋"/>
          <w:color w:val="auto"/>
          <w:sz w:val="28"/>
          <w:szCs w:val="28"/>
          <w:lang w:val="en-US" w:eastAsia="zh-CN"/>
        </w:rPr>
        <w:t>饮用水源保护区</w:t>
      </w:r>
      <w:r>
        <w:rPr>
          <w:rFonts w:hint="eastAsia" w:eastAsia="仿宋"/>
          <w:color w:val="auto"/>
          <w:sz w:val="28"/>
          <w:szCs w:val="28"/>
        </w:rPr>
        <w:t>。两处</w:t>
      </w:r>
      <w:r>
        <w:rPr>
          <w:rFonts w:hint="eastAsia" w:eastAsia="仿宋"/>
          <w:sz w:val="28"/>
          <w:szCs w:val="28"/>
        </w:rPr>
        <w:t>应急</w:t>
      </w:r>
      <w:r>
        <w:rPr>
          <w:rFonts w:hint="eastAsia" w:eastAsia="仿宋"/>
          <w:color w:val="auto"/>
          <w:sz w:val="28"/>
          <w:szCs w:val="28"/>
        </w:rPr>
        <w:t xml:space="preserve">停车场，用地面积分别为0.01公顷、0.02公顷，不涉及永久基本农田（核实处置后）、生态保护红线、自然保护地。                                                                                                                             </w:t>
      </w:r>
    </w:p>
    <w:p w14:paraId="6949FDB2">
      <w:pPr>
        <w:pStyle w:val="2"/>
        <w:spacing w:line="360" w:lineRule="auto"/>
        <w:jc w:val="center"/>
        <w:rPr>
          <w:rFonts w:eastAsia="黑体"/>
          <w:sz w:val="32"/>
        </w:rPr>
      </w:pPr>
      <w:bookmarkStart w:id="8" w:name="_Toc25594"/>
      <w:r>
        <w:rPr>
          <w:rFonts w:hint="eastAsia" w:eastAsia="黑体"/>
          <w:sz w:val="32"/>
        </w:rPr>
        <w:t>第二章  项目选址论证情况</w:t>
      </w:r>
      <w:bookmarkEnd w:id="8"/>
    </w:p>
    <w:p w14:paraId="4193E640">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2017年在濑溪河沿岸建设了堤顶环形抢险道路，需要建设2处管理用房用途为防洪应急指挥和物资堆放，2处应急停车场用途为物资堆放和临时应急停车（除以上用途之外不做他用）。以保障抢险防洪的基础设施建设。</w:t>
      </w:r>
    </w:p>
    <w:p w14:paraId="3623E3B6">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防洪应急指挥管理用房涉及两处，分别位于沙堡村4社和5社。防洪应急停车位涉及两处，位于万灵镇沙堡村5社。项目位于堤顶环形抢险道路，交通十分便利。</w:t>
      </w:r>
      <w:bookmarkStart w:id="9" w:name="_Toc24026"/>
    </w:p>
    <w:p w14:paraId="373AE880">
      <w:pPr>
        <w:pStyle w:val="2"/>
        <w:spacing w:line="360" w:lineRule="auto"/>
        <w:jc w:val="center"/>
        <w:rPr>
          <w:rFonts w:hint="eastAsia" w:eastAsia="黑体"/>
          <w:sz w:val="32"/>
        </w:rPr>
      </w:pPr>
      <w:r>
        <w:rPr>
          <w:rFonts w:hint="eastAsia" w:eastAsia="黑体"/>
          <w:sz w:val="32"/>
        </w:rPr>
        <w:t>第三章  项目范围与重要空间管控线的关系</w:t>
      </w:r>
      <w:bookmarkEnd w:id="9"/>
    </w:p>
    <w:p w14:paraId="66170856">
      <w:pPr>
        <w:pStyle w:val="3"/>
        <w:rPr>
          <w:rFonts w:ascii="黑体" w:hAnsi="黑体" w:eastAsia="黑体"/>
          <w:sz w:val="30"/>
          <w:szCs w:val="30"/>
        </w:rPr>
      </w:pPr>
      <w:bookmarkStart w:id="10" w:name="_Toc22034"/>
      <w:r>
        <w:rPr>
          <w:rFonts w:hint="eastAsia" w:ascii="黑体" w:hAnsi="黑体" w:eastAsia="黑体"/>
          <w:sz w:val="30"/>
          <w:szCs w:val="30"/>
        </w:rPr>
        <w:t>1、项目范围与耕地和永久基本农田的关系</w:t>
      </w:r>
      <w:bookmarkEnd w:id="10"/>
    </w:p>
    <w:p w14:paraId="1BA8C150">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将项目范围线与2023年变更调查数据和永久基本农田数据（核实处置后）叠加，荣昌区万灵镇沙堡村防洪应急指挥管理用房项目涉及占用耕地0.0019公顷，不涉及永久基本农田；荣昌区万灵镇沙堡村防洪应急停车位建设项目涉及占用耕地0.0017公顷，不涉及永久基本农田。</w:t>
      </w:r>
    </w:p>
    <w:p w14:paraId="17918ECA">
      <w:pPr>
        <w:pStyle w:val="3"/>
        <w:rPr>
          <w:rFonts w:ascii="黑体" w:hAnsi="黑体" w:eastAsia="黑体"/>
          <w:sz w:val="30"/>
          <w:szCs w:val="30"/>
        </w:rPr>
      </w:pPr>
      <w:bookmarkStart w:id="11" w:name="_Toc11852"/>
      <w:r>
        <w:rPr>
          <w:rFonts w:hint="eastAsia" w:ascii="黑体" w:hAnsi="黑体" w:eastAsia="黑体"/>
          <w:sz w:val="30"/>
          <w:szCs w:val="30"/>
        </w:rPr>
        <w:t>2、项目范围与生态保护红线的关系</w:t>
      </w:r>
      <w:bookmarkEnd w:id="11"/>
    </w:p>
    <w:p w14:paraId="440B50B2">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color w:val="auto"/>
          <w:kern w:val="0"/>
          <w:sz w:val="28"/>
          <w:szCs w:val="28"/>
          <w:lang w:val="en-US" w:eastAsia="zh-CN" w:bidi="ar-SA"/>
        </w:rPr>
        <w:t>经与“三区三线”下发的生态保护红线相叠加，荣昌区万灵镇沙堡村防洪应急指挥管理用房和防洪应急停车位建设项目均不涉及生态</w:t>
      </w:r>
      <w:r>
        <w:rPr>
          <w:rFonts w:hint="eastAsia" w:ascii="Times New Roman" w:hAnsi="Times New Roman" w:eastAsia="仿宋" w:cs="Times New Roman"/>
          <w:kern w:val="0"/>
          <w:sz w:val="28"/>
          <w:szCs w:val="28"/>
        </w:rPr>
        <w:t>保护红线</w:t>
      </w:r>
      <w:r>
        <w:rPr>
          <w:rFonts w:ascii="Times New Roman" w:hAnsi="Times New Roman" w:eastAsia="仿宋" w:cs="Times New Roman"/>
          <w:kern w:val="0"/>
          <w:sz w:val="28"/>
          <w:szCs w:val="28"/>
        </w:rPr>
        <w:t>。</w:t>
      </w:r>
    </w:p>
    <w:p w14:paraId="02119248">
      <w:pPr>
        <w:pStyle w:val="3"/>
        <w:rPr>
          <w:rFonts w:ascii="黑体" w:hAnsi="黑体" w:eastAsia="黑体"/>
          <w:sz w:val="30"/>
          <w:szCs w:val="30"/>
        </w:rPr>
      </w:pPr>
      <w:bookmarkStart w:id="12" w:name="_Toc19367"/>
      <w:r>
        <w:rPr>
          <w:rFonts w:hint="eastAsia" w:ascii="黑体" w:hAnsi="黑体" w:eastAsia="黑体"/>
          <w:sz w:val="30"/>
          <w:szCs w:val="30"/>
        </w:rPr>
        <w:t>3、项目范围与城镇开发边界的关系</w:t>
      </w:r>
      <w:bookmarkEnd w:id="12"/>
    </w:p>
    <w:p w14:paraId="68CD95E2">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经与“三区三线”下发的城镇开发边界相叠加，荣昌区万灵镇沙堡村防洪应急指挥管理用房和防洪应急停车位建设项目均不涉及城镇开发边界。</w:t>
      </w:r>
    </w:p>
    <w:p w14:paraId="070A7977">
      <w:pPr>
        <w:pStyle w:val="3"/>
        <w:rPr>
          <w:rFonts w:ascii="黑体" w:hAnsi="黑体" w:eastAsia="黑体"/>
          <w:sz w:val="30"/>
          <w:szCs w:val="30"/>
        </w:rPr>
      </w:pPr>
      <w:bookmarkStart w:id="13" w:name="_Toc1901"/>
      <w:r>
        <w:rPr>
          <w:rFonts w:hint="eastAsia" w:ascii="黑体" w:hAnsi="黑体" w:eastAsia="黑体"/>
          <w:sz w:val="30"/>
          <w:szCs w:val="30"/>
        </w:rPr>
        <w:t>4、项目范围与历史文化保护线的关系</w:t>
      </w:r>
      <w:bookmarkEnd w:id="13"/>
    </w:p>
    <w:p w14:paraId="21CB582E">
      <w:pPr>
        <w:ind w:firstLine="560" w:firstLineChars="200"/>
        <w:rPr>
          <w:rFonts w:hint="eastAsia"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bidi="ar-SA"/>
        </w:rPr>
        <w:t>经与历史文化保护线相叠加，荣昌区万灵镇沙堡村防洪应急指挥管理用房和防洪应急停车位建设项目均不在历史文化保护线内，项目范围内无历史文物，如有需按照《重庆市历史文化名城名镇名村保护条例》进行保护和管理。</w:t>
      </w:r>
    </w:p>
    <w:p w14:paraId="2A8458F1">
      <w:pPr>
        <w:pStyle w:val="3"/>
        <w:rPr>
          <w:rFonts w:ascii="黑体" w:hAnsi="黑体" w:eastAsia="黑体"/>
          <w:sz w:val="30"/>
          <w:szCs w:val="30"/>
        </w:rPr>
      </w:pPr>
      <w:bookmarkStart w:id="14" w:name="_Toc18121"/>
      <w:r>
        <w:rPr>
          <w:rFonts w:hint="eastAsia" w:ascii="黑体" w:hAnsi="黑体" w:eastAsia="黑体"/>
          <w:sz w:val="30"/>
          <w:szCs w:val="30"/>
        </w:rPr>
        <w:t>5、项目范围与灾害风险控制线的关系</w:t>
      </w:r>
      <w:bookmarkEnd w:id="14"/>
    </w:p>
    <w:p w14:paraId="59409906">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经与灾害风险控制线相叠加，荣昌区万灵镇沙堡村防洪应急指挥管理用房和防洪应急停车位建设项目均在地质灾害低易发区。</w:t>
      </w:r>
    </w:p>
    <w:p w14:paraId="09FA9C09">
      <w:pPr>
        <w:ind w:firstLine="560" w:firstLineChars="200"/>
        <w:rPr>
          <w:rFonts w:hint="eastAsia"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lang w:eastAsia="zh-CN"/>
        </w:rPr>
        <w:t>同时根据重庆市荣昌区万灵镇沙堡村防洪应急指挥管理用房（</w:t>
      </w:r>
      <w:r>
        <w:rPr>
          <w:rFonts w:hint="eastAsia" w:ascii="Times New Roman" w:hAnsi="Times New Roman" w:eastAsia="仿宋" w:cs="Times New Roman"/>
          <w:color w:val="auto"/>
          <w:kern w:val="0"/>
          <w:sz w:val="28"/>
          <w:szCs w:val="28"/>
          <w:lang w:val="en-US" w:eastAsia="zh-CN"/>
        </w:rPr>
        <w:t>项目在报告中为A2地块和A4地块</w:t>
      </w:r>
      <w:r>
        <w:rPr>
          <w:rFonts w:hint="eastAsia" w:ascii="Times New Roman" w:hAnsi="Times New Roman" w:eastAsia="仿宋" w:cs="Times New Roman"/>
          <w:color w:val="auto"/>
          <w:kern w:val="0"/>
          <w:sz w:val="28"/>
          <w:szCs w:val="28"/>
          <w:lang w:eastAsia="zh-CN"/>
        </w:rPr>
        <w:t>）和防洪应急停车位建设项目（</w:t>
      </w:r>
      <w:r>
        <w:rPr>
          <w:rFonts w:hint="eastAsia" w:ascii="Times New Roman" w:hAnsi="Times New Roman" w:eastAsia="仿宋" w:cs="Times New Roman"/>
          <w:color w:val="auto"/>
          <w:kern w:val="0"/>
          <w:sz w:val="28"/>
          <w:szCs w:val="28"/>
          <w:lang w:val="en-US" w:eastAsia="zh-CN"/>
        </w:rPr>
        <w:t>项目在报告中为A1地块和A3地块</w:t>
      </w:r>
      <w:r>
        <w:rPr>
          <w:rFonts w:hint="eastAsia" w:ascii="Times New Roman" w:hAnsi="Times New Roman" w:eastAsia="仿宋" w:cs="Times New Roman"/>
          <w:color w:val="auto"/>
          <w:kern w:val="0"/>
          <w:sz w:val="28"/>
          <w:szCs w:val="28"/>
          <w:lang w:eastAsia="zh-CN"/>
        </w:rPr>
        <w:t>）建设场地现状地质灾害危险性评估报告评估结论“</w:t>
      </w:r>
      <w:r>
        <w:rPr>
          <w:rFonts w:hint="eastAsia" w:ascii="Times New Roman" w:hAnsi="Times New Roman" w:eastAsia="仿宋" w:cs="Times New Roman"/>
          <w:color w:val="auto"/>
          <w:kern w:val="0"/>
          <w:sz w:val="28"/>
          <w:szCs w:val="28"/>
        </w:rPr>
        <w:t>1、评估区地质环境复杂程度为简单，已建项目属一般建设项目，评估等级为三级。</w:t>
      </w:r>
    </w:p>
    <w:p w14:paraId="0A2DB097">
      <w:pPr>
        <w:ind w:firstLine="560" w:firstLineChars="200"/>
        <w:rPr>
          <w:rFonts w:hint="eastAsia"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2、评估区范围及邻近地段未发现滑坡、危岩崩塌、泥石流、地面塌陷、地裂缝、地面沉降等不良地质现象及地质灾害存在；评估区内无地表水、地下水的破坏，无区县级及以上的地质遗迹、自然和人文景观分布；评估区内地质环境问题主要为斜（边）坡和岸坡的稳定性问题。</w:t>
      </w:r>
    </w:p>
    <w:p w14:paraId="7FE2A783">
      <w:pPr>
        <w:ind w:firstLine="560" w:firstLineChars="200"/>
        <w:rPr>
          <w:rFonts w:hint="eastAsia" w:ascii="Times New Roman" w:hAnsi="Times New Roman" w:eastAsia="仿宋" w:cs="Times New Roman"/>
          <w:color w:val="auto"/>
          <w:kern w:val="0"/>
          <w:sz w:val="28"/>
          <w:szCs w:val="28"/>
          <w:lang w:eastAsia="zh-CN"/>
        </w:rPr>
      </w:pPr>
      <w:r>
        <w:rPr>
          <w:rFonts w:hint="eastAsia" w:ascii="Times New Roman" w:hAnsi="Times New Roman" w:eastAsia="仿宋" w:cs="Times New Roman"/>
          <w:color w:val="auto"/>
          <w:kern w:val="0"/>
          <w:sz w:val="28"/>
          <w:szCs w:val="28"/>
        </w:rPr>
        <w:t>3、A1～A5地块为已建项目，评估区内斜（边）坡和岸坡现状稳定，遭受斜（边）坡和岸坡失稳的地质灾害的可能性小，危险性小。</w:t>
      </w:r>
      <w:r>
        <w:rPr>
          <w:rFonts w:hint="eastAsia" w:ascii="Times New Roman" w:hAnsi="Times New Roman" w:eastAsia="仿宋" w:cs="Times New Roman"/>
          <w:color w:val="auto"/>
          <w:kern w:val="0"/>
          <w:sz w:val="28"/>
          <w:szCs w:val="28"/>
          <w:lang w:eastAsia="zh-CN"/>
        </w:rPr>
        <w:t>”</w:t>
      </w:r>
    </w:p>
    <w:p w14:paraId="3F3A8366">
      <w:pPr>
        <w:ind w:firstLine="560" w:firstLineChars="200"/>
        <w:rPr>
          <w:rFonts w:hint="eastAsia"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项目地质灾害风险较小。</w:t>
      </w:r>
    </w:p>
    <w:p w14:paraId="24320E17">
      <w:pPr>
        <w:pStyle w:val="3"/>
        <w:rPr>
          <w:rFonts w:ascii="黑体" w:hAnsi="黑体" w:eastAsia="黑体"/>
          <w:sz w:val="30"/>
          <w:szCs w:val="30"/>
        </w:rPr>
      </w:pPr>
      <w:bookmarkStart w:id="15" w:name="_Toc26138"/>
      <w:r>
        <w:rPr>
          <w:rFonts w:hint="eastAsia" w:ascii="黑体" w:hAnsi="黑体" w:eastAsia="黑体"/>
          <w:sz w:val="30"/>
          <w:szCs w:val="30"/>
        </w:rPr>
        <w:t>6、项目范围与河道管理线的关系</w:t>
      </w:r>
      <w:bookmarkEnd w:id="15"/>
    </w:p>
    <w:p w14:paraId="451161A1">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经与河道管理线相叠加，位于沙堡村4社的防洪应急指挥管理用房及两处防洪应急停车位建设项目在河道管理线内。</w:t>
      </w:r>
    </w:p>
    <w:p w14:paraId="4BCB73CE">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根据《重庆市河道管理条例》和《重庆市河道管理范围内建设项目管理办法（修订）》的有关规定，涉河建设项目建设单位应当在项目开工建设前将涉河建设方案及防洪评价报告报区县(自治县)水行政主管部门批准。4社的防洪应急指挥管理用房及两处防洪应急停车位建设项目是作为抢险防洪的基础设施，属于涉河建设项目。《荣昌区濑溪河（昌州-万灵段）防洪及水环境治理工程堤顶环形抢险道路工程涉河建设方案及防洪评价报告》(水务发〔2017〕216号)(以下简称216号文件)，该道路设计较低点标高312.26米，满足10年一遇311.52米防洪标准。水利局同意在万灵镇沙堡村修建管理用房2处及停车场2处，用于沙堡村防洪应急指挥及物资堆放。现修建的管理用房标高312.50米及停车场地面标高314.6米均高于216号文件批复的防汛312.26米道路标高,满足10年一遇311.52米行洪防洪要求。（详见附件一）</w:t>
      </w:r>
    </w:p>
    <w:p w14:paraId="7767D04B">
      <w:pPr>
        <w:ind w:firstLine="560" w:firstLineChars="200"/>
        <w:rPr>
          <w:color w:val="auto"/>
        </w:rPr>
      </w:pPr>
      <w:r>
        <w:rPr>
          <w:rFonts w:hint="eastAsia" w:eastAsia="仿宋" w:cs="Times New Roman"/>
          <w:color w:val="auto"/>
          <w:kern w:val="0"/>
          <w:sz w:val="28"/>
          <w:szCs w:val="28"/>
        </w:rPr>
        <w:t>综上，</w:t>
      </w:r>
      <w:r>
        <w:rPr>
          <w:rFonts w:hint="eastAsia" w:ascii="Times New Roman" w:hAnsi="Times New Roman" w:eastAsia="仿宋" w:cs="Times New Roman"/>
          <w:color w:val="auto"/>
          <w:kern w:val="0"/>
          <w:sz w:val="28"/>
          <w:szCs w:val="28"/>
        </w:rPr>
        <w:t>荣昌区万灵镇沙堡村防洪应急指挥管理用房和防洪应急停车位建设项目满足10年一遇311.52米行洪防洪要求</w:t>
      </w:r>
      <w:r>
        <w:rPr>
          <w:rFonts w:hint="eastAsia" w:eastAsia="仿宋" w:cs="Times New Roman"/>
          <w:color w:val="auto"/>
          <w:kern w:val="0"/>
          <w:sz w:val="28"/>
          <w:szCs w:val="28"/>
        </w:rPr>
        <w:t>。</w:t>
      </w:r>
      <w:r>
        <w:rPr>
          <w:rFonts w:hint="eastAsia" w:ascii="Times New Roman" w:hAnsi="Times New Roman" w:eastAsia="仿宋" w:cs="Times New Roman"/>
          <w:color w:val="auto"/>
          <w:kern w:val="0"/>
          <w:sz w:val="28"/>
          <w:szCs w:val="28"/>
        </w:rPr>
        <w:t>该项目的建设对工程河段河势、河道行洪造成的影响甚微，</w:t>
      </w:r>
      <w:r>
        <w:rPr>
          <w:rFonts w:hint="eastAsia" w:eastAsia="仿宋" w:cs="Times New Roman"/>
          <w:color w:val="auto"/>
          <w:kern w:val="0"/>
          <w:sz w:val="28"/>
          <w:szCs w:val="28"/>
        </w:rPr>
        <w:t>可进行涉河项目建设。</w:t>
      </w:r>
    </w:p>
    <w:p w14:paraId="075EE25D">
      <w:pPr>
        <w:pStyle w:val="3"/>
        <w:rPr>
          <w:rFonts w:ascii="黑体" w:hAnsi="黑体" w:eastAsia="黑体"/>
          <w:sz w:val="30"/>
          <w:szCs w:val="30"/>
        </w:rPr>
      </w:pPr>
      <w:bookmarkStart w:id="16" w:name="_Toc4011"/>
      <w:r>
        <w:rPr>
          <w:rFonts w:hint="eastAsia" w:ascii="黑体" w:hAnsi="黑体" w:eastAsia="黑体"/>
          <w:sz w:val="30"/>
          <w:szCs w:val="30"/>
        </w:rPr>
        <w:t>7、项目范围与濑溪河湿地公园的关系</w:t>
      </w:r>
      <w:bookmarkEnd w:id="16"/>
    </w:p>
    <w:p w14:paraId="0D602A40">
      <w:pPr>
        <w:ind w:firstLine="560" w:firstLineChars="200"/>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经与《重庆濑溪河国家湿地公园修编总体规划》（2017年）批复的濑溪河湿地公园范围线相叠加，荣昌区万灵镇沙堡村防洪应急指挥管理用房和防洪应急停车位建设项目均不在濑溪河湿地公园范围内。</w:t>
      </w:r>
    </w:p>
    <w:p w14:paraId="5E359CFE">
      <w:pPr>
        <w:pStyle w:val="3"/>
        <w:rPr>
          <w:rFonts w:ascii="黑体" w:hAnsi="黑体" w:eastAsia="黑体"/>
          <w:sz w:val="30"/>
          <w:szCs w:val="30"/>
        </w:rPr>
      </w:pPr>
      <w:bookmarkStart w:id="17" w:name="_Toc23901"/>
      <w:r>
        <w:rPr>
          <w:rFonts w:hint="eastAsia" w:ascii="黑体" w:hAnsi="黑体" w:eastAsia="黑体"/>
          <w:sz w:val="30"/>
          <w:szCs w:val="30"/>
          <w:lang w:val="en-US" w:eastAsia="zh-CN"/>
        </w:rPr>
        <w:t>8</w:t>
      </w:r>
      <w:r>
        <w:rPr>
          <w:rFonts w:hint="eastAsia" w:ascii="黑体" w:hAnsi="黑体" w:eastAsia="黑体"/>
          <w:sz w:val="30"/>
          <w:szCs w:val="30"/>
        </w:rPr>
        <w:t>、项目范围与</w:t>
      </w:r>
      <w:r>
        <w:rPr>
          <w:rFonts w:hint="eastAsia" w:ascii="黑体" w:hAnsi="黑体" w:eastAsia="黑体"/>
          <w:sz w:val="30"/>
          <w:szCs w:val="30"/>
          <w:lang w:val="en-US" w:eastAsia="zh-CN"/>
        </w:rPr>
        <w:t>饮用水源保护区</w:t>
      </w:r>
      <w:r>
        <w:rPr>
          <w:rFonts w:hint="eastAsia" w:ascii="黑体" w:hAnsi="黑体" w:eastAsia="黑体"/>
          <w:sz w:val="30"/>
          <w:szCs w:val="30"/>
        </w:rPr>
        <w:t>的关系</w:t>
      </w:r>
      <w:bookmarkEnd w:id="17"/>
    </w:p>
    <w:p w14:paraId="0403CEF3">
      <w:pPr>
        <w:ind w:firstLine="560" w:firstLineChars="200"/>
      </w:pPr>
      <w:r>
        <w:rPr>
          <w:rFonts w:hint="eastAsia" w:ascii="Times New Roman" w:hAnsi="Times New Roman" w:eastAsia="仿宋" w:cs="Times New Roman"/>
          <w:kern w:val="0"/>
          <w:sz w:val="28"/>
          <w:szCs w:val="28"/>
        </w:rPr>
        <w:t>经与饮用水源保护</w:t>
      </w:r>
      <w:r>
        <w:rPr>
          <w:rFonts w:hint="eastAsia" w:ascii="Times New Roman" w:hAnsi="Times New Roman" w:eastAsia="仿宋" w:cs="Times New Roman"/>
          <w:kern w:val="0"/>
          <w:sz w:val="28"/>
          <w:szCs w:val="28"/>
          <w:lang w:val="en-US" w:eastAsia="zh-CN"/>
        </w:rPr>
        <w:t>区范围线</w:t>
      </w:r>
      <w:r>
        <w:rPr>
          <w:rFonts w:hint="eastAsia" w:ascii="Times New Roman" w:hAnsi="Times New Roman" w:eastAsia="仿宋" w:cs="Times New Roman"/>
          <w:kern w:val="0"/>
          <w:sz w:val="28"/>
          <w:szCs w:val="28"/>
        </w:rPr>
        <w:t>叠加，荣昌区万灵镇沙堡村防洪应急指挥管理用房和防洪应急停车位建设项目均不在饮用水源保护区范围内。</w:t>
      </w:r>
    </w:p>
    <w:p w14:paraId="6C032AF2">
      <w:pPr>
        <w:pStyle w:val="2"/>
        <w:spacing w:line="360" w:lineRule="auto"/>
        <w:jc w:val="center"/>
        <w:rPr>
          <w:rFonts w:eastAsia="黑体"/>
          <w:sz w:val="32"/>
        </w:rPr>
      </w:pPr>
      <w:bookmarkStart w:id="18" w:name="_Toc12872"/>
      <w:r>
        <w:rPr>
          <w:rFonts w:hint="eastAsia" w:eastAsia="黑体"/>
          <w:sz w:val="32"/>
        </w:rPr>
        <w:t>第四章 项目用地布局与主要规划指标情况</w:t>
      </w:r>
      <w:bookmarkEnd w:id="18"/>
    </w:p>
    <w:p w14:paraId="5F5619EC">
      <w:pPr>
        <w:pStyle w:val="3"/>
        <w:rPr>
          <w:rFonts w:ascii="黑体" w:hAnsi="黑体" w:eastAsia="黑体"/>
          <w:sz w:val="30"/>
          <w:szCs w:val="30"/>
        </w:rPr>
      </w:pPr>
      <w:bookmarkStart w:id="19" w:name="_Toc25080"/>
      <w:r>
        <w:rPr>
          <w:rFonts w:hint="eastAsia" w:ascii="黑体" w:hAnsi="黑体" w:eastAsia="黑体"/>
          <w:sz w:val="30"/>
          <w:szCs w:val="30"/>
        </w:rPr>
        <w:t>1、项目用地布局</w:t>
      </w:r>
      <w:bookmarkEnd w:id="19"/>
    </w:p>
    <w:p w14:paraId="08B62D2B">
      <w:pPr>
        <w:ind w:firstLine="560" w:firstLineChars="200"/>
        <w:rPr>
          <w:rFonts w:ascii="Times New Roman" w:hAnsi="Times New Roman" w:eastAsia="仿宋" w:cs="Times New Roman"/>
          <w:color w:val="auto"/>
          <w:kern w:val="0"/>
          <w:sz w:val="28"/>
          <w:szCs w:val="28"/>
        </w:rPr>
      </w:pPr>
      <w:r>
        <w:rPr>
          <w:rFonts w:hint="eastAsia" w:ascii="Times New Roman" w:hAnsi="Times New Roman" w:eastAsia="仿宋" w:cs="Times New Roman"/>
          <w:color w:val="auto"/>
          <w:kern w:val="0"/>
          <w:sz w:val="28"/>
          <w:szCs w:val="28"/>
        </w:rPr>
        <w:t>本次规划布置两个项目，荣昌区万灵镇沙堡村防洪应急指挥管理用房，项目涉及两处管理用房，分别位于沙堡村4社（管理用房1）和5社（管理用房2），用地面积分别为0.05公顷、0.04公顷。根据叠加2023年变更调查数据，管理用房1涉及到现状地类水田0.0005公顷、农村道路0.0142公顷、农村宅基地0.0256公顷、交通场站用地0.0140公顷、田坎0.0001公顷，本次拟布局为其他公用设施用地0.0543公顷；管理用房2涉及到现状地类水田0.0013公顷、农村道路0.0010公顷、农村宅基地0.0394公顷，本次拟布局为其他公用设施用地0.0417公顷。</w:t>
      </w:r>
    </w:p>
    <w:p w14:paraId="78631C51">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荣昌区万灵镇沙堡村濑溪河防洪应急停车场建设项目，项目位于沙堡村五社，涉及两处应急停车场（应急停车场1和应急停车场2），用地面积分别为0.01公顷、0.02公顷。根据叠加2023年变更调查数据，应急停车场1涉及到现状地类农村道路0.0094公顷；应急停车场2涉及到现状地类农村道路0.0143公顷、水田0.0014公顷、田坎0.0003公顷。</w:t>
      </w:r>
    </w:p>
    <w:p w14:paraId="6D786B7E">
      <w:pPr>
        <w:ind w:firstLine="560" w:firstLineChars="200"/>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项目用地范围不占用永久基本农田、生态保护红线和城镇开发边界。由于项目布局后未突破沙堡村2020年度国土变更调查村庄用地（203）规模，故不涉及调出地块。详见下表：</w:t>
      </w:r>
    </w:p>
    <w:p w14:paraId="71D57A93">
      <w:pPr>
        <w:pStyle w:val="12"/>
        <w:ind w:left="0" w:leftChars="0" w:firstLine="539"/>
        <w:rPr>
          <w:rFonts w:eastAsia="仿宋" w:cs="Times New Roman"/>
          <w:spacing w:val="0"/>
          <w:kern w:val="0"/>
          <w:sz w:val="28"/>
          <w:szCs w:val="28"/>
        </w:rPr>
      </w:pPr>
      <w:r>
        <w:rPr>
          <w:rFonts w:hint="eastAsia" w:eastAsia="仿宋" w:cs="Times New Roman"/>
          <w:spacing w:val="0"/>
          <w:kern w:val="0"/>
          <w:sz w:val="28"/>
          <w:szCs w:val="28"/>
        </w:rPr>
        <w:t>表4-1 用地指标调整情况表</w:t>
      </w:r>
    </w:p>
    <w:tbl>
      <w:tblPr>
        <w:tblStyle w:val="13"/>
        <w:tblW w:w="4998" w:type="pct"/>
        <w:tblInd w:w="0" w:type="dxa"/>
        <w:tblLayout w:type="autofit"/>
        <w:tblCellMar>
          <w:top w:w="0" w:type="dxa"/>
          <w:left w:w="108" w:type="dxa"/>
          <w:bottom w:w="0" w:type="dxa"/>
          <w:right w:w="108" w:type="dxa"/>
        </w:tblCellMar>
      </w:tblPr>
      <w:tblGrid>
        <w:gridCol w:w="1050"/>
        <w:gridCol w:w="966"/>
        <w:gridCol w:w="1304"/>
        <w:gridCol w:w="1067"/>
        <w:gridCol w:w="846"/>
        <w:gridCol w:w="878"/>
        <w:gridCol w:w="717"/>
        <w:gridCol w:w="842"/>
        <w:gridCol w:w="849"/>
      </w:tblGrid>
      <w:tr w14:paraId="6946DB58">
        <w:tblPrEx>
          <w:tblCellMar>
            <w:top w:w="0" w:type="dxa"/>
            <w:left w:w="108" w:type="dxa"/>
            <w:bottom w:w="0" w:type="dxa"/>
            <w:right w:w="108" w:type="dxa"/>
          </w:tblCellMar>
        </w:tblPrEx>
        <w:trPr>
          <w:trHeight w:val="300" w:hRule="atLeast"/>
        </w:trPr>
        <w:tc>
          <w:tcPr>
            <w:tcW w:w="11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18BB0">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项目名称</w:t>
            </w:r>
          </w:p>
        </w:tc>
        <w:tc>
          <w:tcPr>
            <w:tcW w:w="18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02C9A">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调整前用地</w:t>
            </w:r>
          </w:p>
        </w:tc>
        <w:tc>
          <w:tcPr>
            <w:tcW w:w="19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F007AC">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调整后用地</w:t>
            </w:r>
          </w:p>
        </w:tc>
      </w:tr>
      <w:tr w14:paraId="7C40D292">
        <w:tblPrEx>
          <w:tblCellMar>
            <w:top w:w="0" w:type="dxa"/>
            <w:left w:w="108" w:type="dxa"/>
            <w:bottom w:w="0" w:type="dxa"/>
            <w:right w:w="108" w:type="dxa"/>
          </w:tblCellMar>
        </w:tblPrEx>
        <w:trPr>
          <w:trHeight w:val="300" w:hRule="atLeast"/>
        </w:trPr>
        <w:tc>
          <w:tcPr>
            <w:tcW w:w="11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9C1BE">
            <w:pPr>
              <w:jc w:val="center"/>
              <w:rPr>
                <w:rFonts w:ascii="仿宋" w:hAnsi="仿宋" w:eastAsia="仿宋" w:cs="仿宋"/>
                <w:b/>
                <w:bCs/>
                <w:color w:val="auto"/>
                <w:szCs w:val="21"/>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A4A9">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一级类</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BAAF">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二级类</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8129">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面积（公顷）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CDAE">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一级类</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37B17">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二级类</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37BF">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三级类</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A2B9">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面积（公顷）</w:t>
            </w:r>
          </w:p>
        </w:tc>
      </w:tr>
      <w:tr w14:paraId="7FBA6ECD">
        <w:tblPrEx>
          <w:tblCellMar>
            <w:top w:w="0" w:type="dxa"/>
            <w:left w:w="108" w:type="dxa"/>
            <w:bottom w:w="0" w:type="dxa"/>
            <w:right w:w="108" w:type="dxa"/>
          </w:tblCellMar>
        </w:tblPrEx>
        <w:trPr>
          <w:trHeight w:val="330" w:hRule="atLeast"/>
        </w:trPr>
        <w:tc>
          <w:tcPr>
            <w:tcW w:w="617" w:type="pct"/>
            <w:vMerge w:val="restart"/>
            <w:tcBorders>
              <w:top w:val="single" w:color="000000" w:sz="4" w:space="0"/>
              <w:left w:val="single" w:color="000000" w:sz="4" w:space="0"/>
              <w:right w:val="single" w:color="000000" w:sz="4" w:space="0"/>
            </w:tcBorders>
            <w:shd w:val="clear" w:color="auto" w:fill="auto"/>
            <w:vAlign w:val="center"/>
          </w:tcPr>
          <w:p w14:paraId="55800C20">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荣昌区万灵镇沙堡村防洪应急指挥管理用房和防洪应急停车位建设项目</w:t>
            </w:r>
          </w:p>
          <w:p w14:paraId="3D563760">
            <w:pPr>
              <w:widowControl/>
              <w:jc w:val="center"/>
              <w:textAlignment w:val="center"/>
              <w:rPr>
                <w:rFonts w:ascii="仿宋" w:hAnsi="仿宋" w:eastAsia="仿宋" w:cs="仿宋"/>
                <w:color w:val="auto"/>
                <w:szCs w:val="21"/>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EAFC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管理用房1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63C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耕地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CC9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水田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DFB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0.0006 </w:t>
            </w:r>
          </w:p>
        </w:tc>
        <w:tc>
          <w:tcPr>
            <w:tcW w:w="515" w:type="pct"/>
            <w:vMerge w:val="restart"/>
            <w:tcBorders>
              <w:top w:val="single" w:color="000000" w:sz="4" w:space="0"/>
              <w:left w:val="single" w:color="000000" w:sz="4" w:space="0"/>
              <w:bottom w:val="nil"/>
              <w:right w:val="single" w:color="000000" w:sz="4" w:space="0"/>
            </w:tcBorders>
            <w:shd w:val="clear" w:color="auto" w:fill="auto"/>
            <w:vAlign w:val="center"/>
          </w:tcPr>
          <w:p w14:paraId="2D07C92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公用设施用地</w:t>
            </w:r>
          </w:p>
        </w:tc>
        <w:tc>
          <w:tcPr>
            <w:tcW w:w="915"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19BB2A1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其他公用设施用地</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A415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0.0543 </w:t>
            </w:r>
          </w:p>
        </w:tc>
      </w:tr>
      <w:tr w14:paraId="63DFB016">
        <w:tblPrEx>
          <w:tblCellMar>
            <w:top w:w="0" w:type="dxa"/>
            <w:left w:w="108" w:type="dxa"/>
            <w:bottom w:w="0" w:type="dxa"/>
            <w:right w:w="108" w:type="dxa"/>
          </w:tblCellMar>
        </w:tblPrEx>
        <w:trPr>
          <w:trHeight w:val="330" w:hRule="atLeast"/>
        </w:trPr>
        <w:tc>
          <w:tcPr>
            <w:tcW w:w="617" w:type="pct"/>
            <w:vMerge w:val="continue"/>
            <w:tcBorders>
              <w:left w:val="single" w:color="000000" w:sz="4" w:space="0"/>
              <w:right w:val="single" w:color="000000" w:sz="4" w:space="0"/>
            </w:tcBorders>
            <w:shd w:val="clear" w:color="auto" w:fill="auto"/>
            <w:vAlign w:val="center"/>
          </w:tcPr>
          <w:p w14:paraId="7103BAD2">
            <w:pPr>
              <w:jc w:val="center"/>
              <w:rPr>
                <w:rFonts w:ascii="仿宋" w:hAnsi="仿宋" w:eastAsia="仿宋" w:cs="仿宋"/>
                <w:color w:val="auto"/>
                <w:szCs w:val="21"/>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25D11">
            <w:pPr>
              <w:jc w:val="center"/>
              <w:rPr>
                <w:rFonts w:ascii="仿宋" w:hAnsi="仿宋" w:eastAsia="仿宋" w:cs="仿宋"/>
                <w:color w:val="auto"/>
                <w:szCs w:val="21"/>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737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农业设施建设用地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C65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农村道路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03C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0.0142 </w:t>
            </w:r>
          </w:p>
        </w:tc>
        <w:tc>
          <w:tcPr>
            <w:tcW w:w="515" w:type="pct"/>
            <w:vMerge w:val="continue"/>
            <w:tcBorders>
              <w:top w:val="single" w:color="000000" w:sz="4" w:space="0"/>
              <w:left w:val="single" w:color="000000" w:sz="4" w:space="0"/>
              <w:bottom w:val="nil"/>
              <w:right w:val="single" w:color="000000" w:sz="4" w:space="0"/>
            </w:tcBorders>
            <w:shd w:val="clear" w:color="auto" w:fill="auto"/>
            <w:vAlign w:val="center"/>
          </w:tcPr>
          <w:p w14:paraId="48734ED8">
            <w:pPr>
              <w:jc w:val="center"/>
              <w:rPr>
                <w:rFonts w:ascii="仿宋" w:hAnsi="仿宋" w:eastAsia="仿宋" w:cs="仿宋"/>
                <w:color w:val="auto"/>
                <w:szCs w:val="21"/>
              </w:rPr>
            </w:pPr>
          </w:p>
        </w:tc>
        <w:tc>
          <w:tcPr>
            <w:tcW w:w="91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05475D6">
            <w:pPr>
              <w:jc w:val="center"/>
              <w:rPr>
                <w:rFonts w:ascii="仿宋" w:hAnsi="仿宋" w:eastAsia="仿宋" w:cs="仿宋"/>
                <w:color w:val="auto"/>
                <w:szCs w:val="21"/>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6E7AF">
            <w:pPr>
              <w:jc w:val="center"/>
              <w:rPr>
                <w:rFonts w:ascii="仿宋" w:hAnsi="仿宋" w:eastAsia="仿宋" w:cs="仿宋"/>
                <w:color w:val="auto"/>
                <w:szCs w:val="21"/>
              </w:rPr>
            </w:pPr>
          </w:p>
        </w:tc>
      </w:tr>
      <w:tr w14:paraId="04B2CA02">
        <w:tblPrEx>
          <w:tblCellMar>
            <w:top w:w="0" w:type="dxa"/>
            <w:left w:w="108" w:type="dxa"/>
            <w:bottom w:w="0" w:type="dxa"/>
            <w:right w:w="108" w:type="dxa"/>
          </w:tblCellMar>
        </w:tblPrEx>
        <w:trPr>
          <w:trHeight w:val="330" w:hRule="atLeast"/>
        </w:trPr>
        <w:tc>
          <w:tcPr>
            <w:tcW w:w="617" w:type="pct"/>
            <w:vMerge w:val="continue"/>
            <w:tcBorders>
              <w:left w:val="single" w:color="000000" w:sz="4" w:space="0"/>
              <w:right w:val="single" w:color="000000" w:sz="4" w:space="0"/>
            </w:tcBorders>
            <w:shd w:val="clear" w:color="auto" w:fill="auto"/>
            <w:vAlign w:val="center"/>
          </w:tcPr>
          <w:p w14:paraId="18A9837C">
            <w:pPr>
              <w:jc w:val="center"/>
              <w:rPr>
                <w:rFonts w:ascii="仿宋" w:hAnsi="仿宋" w:eastAsia="仿宋" w:cs="仿宋"/>
                <w:color w:val="auto"/>
                <w:szCs w:val="21"/>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FCAF2">
            <w:pPr>
              <w:jc w:val="center"/>
              <w:rPr>
                <w:rFonts w:ascii="仿宋" w:hAnsi="仿宋" w:eastAsia="仿宋" w:cs="仿宋"/>
                <w:color w:val="auto"/>
                <w:szCs w:val="21"/>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BE1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居住用地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6DC0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农村宅基地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4745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0.0256 </w:t>
            </w:r>
          </w:p>
        </w:tc>
        <w:tc>
          <w:tcPr>
            <w:tcW w:w="515" w:type="pct"/>
            <w:vMerge w:val="continue"/>
            <w:tcBorders>
              <w:top w:val="single" w:color="000000" w:sz="4" w:space="0"/>
              <w:left w:val="single" w:color="000000" w:sz="4" w:space="0"/>
              <w:bottom w:val="nil"/>
              <w:right w:val="single" w:color="000000" w:sz="4" w:space="0"/>
            </w:tcBorders>
            <w:shd w:val="clear" w:color="auto" w:fill="auto"/>
            <w:vAlign w:val="center"/>
          </w:tcPr>
          <w:p w14:paraId="4E6B5367">
            <w:pPr>
              <w:jc w:val="center"/>
              <w:rPr>
                <w:rFonts w:ascii="仿宋" w:hAnsi="仿宋" w:eastAsia="仿宋" w:cs="仿宋"/>
                <w:color w:val="auto"/>
                <w:szCs w:val="21"/>
              </w:rPr>
            </w:pPr>
          </w:p>
        </w:tc>
        <w:tc>
          <w:tcPr>
            <w:tcW w:w="91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642CC30">
            <w:pPr>
              <w:jc w:val="center"/>
              <w:rPr>
                <w:rFonts w:ascii="仿宋" w:hAnsi="仿宋" w:eastAsia="仿宋" w:cs="仿宋"/>
                <w:color w:val="auto"/>
                <w:szCs w:val="21"/>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254E">
            <w:pPr>
              <w:jc w:val="center"/>
              <w:rPr>
                <w:rFonts w:ascii="仿宋" w:hAnsi="仿宋" w:eastAsia="仿宋" w:cs="仿宋"/>
                <w:color w:val="auto"/>
                <w:szCs w:val="21"/>
              </w:rPr>
            </w:pPr>
          </w:p>
        </w:tc>
      </w:tr>
      <w:tr w14:paraId="7C1477CA">
        <w:tblPrEx>
          <w:tblCellMar>
            <w:top w:w="0" w:type="dxa"/>
            <w:left w:w="108" w:type="dxa"/>
            <w:bottom w:w="0" w:type="dxa"/>
            <w:right w:w="108" w:type="dxa"/>
          </w:tblCellMar>
        </w:tblPrEx>
        <w:trPr>
          <w:trHeight w:val="330" w:hRule="atLeast"/>
        </w:trPr>
        <w:tc>
          <w:tcPr>
            <w:tcW w:w="617" w:type="pct"/>
            <w:vMerge w:val="continue"/>
            <w:tcBorders>
              <w:left w:val="single" w:color="000000" w:sz="4" w:space="0"/>
              <w:right w:val="single" w:color="000000" w:sz="4" w:space="0"/>
            </w:tcBorders>
            <w:shd w:val="clear" w:color="auto" w:fill="auto"/>
            <w:vAlign w:val="center"/>
          </w:tcPr>
          <w:p w14:paraId="0D96C6E7">
            <w:pPr>
              <w:jc w:val="center"/>
              <w:rPr>
                <w:rFonts w:ascii="仿宋" w:hAnsi="仿宋" w:eastAsia="仿宋" w:cs="仿宋"/>
                <w:color w:val="auto"/>
                <w:szCs w:val="21"/>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18AF9">
            <w:pPr>
              <w:jc w:val="center"/>
              <w:rPr>
                <w:rFonts w:ascii="仿宋" w:hAnsi="仿宋" w:eastAsia="仿宋" w:cs="仿宋"/>
                <w:color w:val="auto"/>
                <w:szCs w:val="21"/>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81E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交通运输用地</w:t>
            </w:r>
          </w:p>
        </w:tc>
        <w:tc>
          <w:tcPr>
            <w:tcW w:w="626" w:type="pct"/>
            <w:tcBorders>
              <w:top w:val="nil"/>
              <w:left w:val="single" w:color="000000" w:sz="4" w:space="0"/>
              <w:bottom w:val="single" w:color="000000" w:sz="4" w:space="0"/>
              <w:right w:val="single" w:color="000000" w:sz="4" w:space="0"/>
            </w:tcBorders>
            <w:shd w:val="clear" w:color="auto" w:fill="auto"/>
            <w:vAlign w:val="center"/>
          </w:tcPr>
          <w:p w14:paraId="7B5CB0C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交通场站用地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A00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0.0140 </w:t>
            </w:r>
          </w:p>
        </w:tc>
        <w:tc>
          <w:tcPr>
            <w:tcW w:w="515" w:type="pct"/>
            <w:vMerge w:val="continue"/>
            <w:tcBorders>
              <w:top w:val="single" w:color="000000" w:sz="4" w:space="0"/>
              <w:left w:val="single" w:color="000000" w:sz="4" w:space="0"/>
              <w:bottom w:val="nil"/>
              <w:right w:val="single" w:color="000000" w:sz="4" w:space="0"/>
            </w:tcBorders>
            <w:shd w:val="clear" w:color="auto" w:fill="auto"/>
            <w:vAlign w:val="center"/>
          </w:tcPr>
          <w:p w14:paraId="64A80F2F">
            <w:pPr>
              <w:jc w:val="center"/>
              <w:rPr>
                <w:rFonts w:ascii="仿宋" w:hAnsi="仿宋" w:eastAsia="仿宋" w:cs="仿宋"/>
                <w:color w:val="auto"/>
                <w:szCs w:val="21"/>
              </w:rPr>
            </w:pPr>
          </w:p>
        </w:tc>
        <w:tc>
          <w:tcPr>
            <w:tcW w:w="915"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1E722DCD">
            <w:pPr>
              <w:jc w:val="center"/>
              <w:rPr>
                <w:rFonts w:ascii="仿宋" w:hAnsi="仿宋" w:eastAsia="仿宋" w:cs="仿宋"/>
                <w:color w:val="auto"/>
                <w:szCs w:val="21"/>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B51F6">
            <w:pPr>
              <w:jc w:val="center"/>
              <w:rPr>
                <w:rFonts w:ascii="仿宋" w:hAnsi="仿宋" w:eastAsia="仿宋" w:cs="仿宋"/>
                <w:color w:val="auto"/>
                <w:szCs w:val="21"/>
              </w:rPr>
            </w:pPr>
          </w:p>
        </w:tc>
      </w:tr>
      <w:tr w14:paraId="4B704350">
        <w:tblPrEx>
          <w:tblCellMar>
            <w:top w:w="0" w:type="dxa"/>
            <w:left w:w="108" w:type="dxa"/>
            <w:bottom w:w="0" w:type="dxa"/>
            <w:right w:w="108" w:type="dxa"/>
          </w:tblCellMar>
        </w:tblPrEx>
        <w:trPr>
          <w:trHeight w:val="330" w:hRule="atLeast"/>
        </w:trPr>
        <w:tc>
          <w:tcPr>
            <w:tcW w:w="617" w:type="pct"/>
            <w:vMerge w:val="continue"/>
            <w:tcBorders>
              <w:left w:val="single" w:color="000000" w:sz="4" w:space="0"/>
              <w:right w:val="single" w:color="000000" w:sz="4" w:space="0"/>
            </w:tcBorders>
            <w:shd w:val="clear" w:color="auto" w:fill="auto"/>
            <w:vAlign w:val="center"/>
          </w:tcPr>
          <w:p w14:paraId="16EDED8D">
            <w:pPr>
              <w:jc w:val="center"/>
              <w:rPr>
                <w:rFonts w:ascii="仿宋" w:hAnsi="仿宋" w:eastAsia="仿宋" w:cs="仿宋"/>
                <w:color w:val="auto"/>
                <w:szCs w:val="21"/>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B7D4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管理用房2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51FA">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耕地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50C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水田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C81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0.0013 </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3E78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公用设施用地</w:t>
            </w:r>
          </w:p>
        </w:tc>
        <w:tc>
          <w:tcPr>
            <w:tcW w:w="9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A963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其他公用设施用地</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70FF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0.0417 </w:t>
            </w:r>
          </w:p>
        </w:tc>
      </w:tr>
      <w:tr w14:paraId="508DEAEF">
        <w:tblPrEx>
          <w:tblCellMar>
            <w:top w:w="0" w:type="dxa"/>
            <w:left w:w="108" w:type="dxa"/>
            <w:bottom w:w="0" w:type="dxa"/>
            <w:right w:w="108" w:type="dxa"/>
          </w:tblCellMar>
        </w:tblPrEx>
        <w:trPr>
          <w:trHeight w:val="330" w:hRule="atLeast"/>
        </w:trPr>
        <w:tc>
          <w:tcPr>
            <w:tcW w:w="617" w:type="pct"/>
            <w:vMerge w:val="continue"/>
            <w:tcBorders>
              <w:left w:val="single" w:color="000000" w:sz="4" w:space="0"/>
              <w:right w:val="single" w:color="000000" w:sz="4" w:space="0"/>
            </w:tcBorders>
            <w:shd w:val="clear" w:color="auto" w:fill="auto"/>
            <w:vAlign w:val="center"/>
          </w:tcPr>
          <w:p w14:paraId="490DEF9C">
            <w:pPr>
              <w:jc w:val="center"/>
              <w:rPr>
                <w:rFonts w:ascii="仿宋" w:hAnsi="仿宋" w:eastAsia="仿宋" w:cs="仿宋"/>
                <w:color w:val="auto"/>
                <w:szCs w:val="21"/>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AF216">
            <w:pPr>
              <w:jc w:val="center"/>
              <w:rPr>
                <w:rFonts w:ascii="仿宋" w:hAnsi="仿宋" w:eastAsia="仿宋" w:cs="仿宋"/>
                <w:color w:val="auto"/>
                <w:szCs w:val="21"/>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428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农业设施建设用地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500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农村道路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90E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0.0010 </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DDE3">
            <w:pPr>
              <w:jc w:val="center"/>
              <w:rPr>
                <w:rFonts w:ascii="仿宋" w:hAnsi="仿宋" w:eastAsia="仿宋" w:cs="仿宋"/>
                <w:color w:val="auto"/>
                <w:szCs w:val="21"/>
              </w:rPr>
            </w:pP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165F8">
            <w:pPr>
              <w:jc w:val="center"/>
              <w:rPr>
                <w:rFonts w:ascii="仿宋" w:hAnsi="仿宋" w:eastAsia="仿宋" w:cs="仿宋"/>
                <w:color w:val="auto"/>
                <w:szCs w:val="21"/>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E0BF3">
            <w:pPr>
              <w:jc w:val="center"/>
              <w:rPr>
                <w:rFonts w:ascii="仿宋" w:hAnsi="仿宋" w:eastAsia="仿宋" w:cs="仿宋"/>
                <w:color w:val="auto"/>
                <w:szCs w:val="21"/>
              </w:rPr>
            </w:pPr>
          </w:p>
        </w:tc>
      </w:tr>
      <w:tr w14:paraId="0EE973E6">
        <w:tblPrEx>
          <w:tblCellMar>
            <w:top w:w="0" w:type="dxa"/>
            <w:left w:w="108" w:type="dxa"/>
            <w:bottom w:w="0" w:type="dxa"/>
            <w:right w:w="108" w:type="dxa"/>
          </w:tblCellMar>
        </w:tblPrEx>
        <w:trPr>
          <w:trHeight w:val="330" w:hRule="atLeast"/>
        </w:trPr>
        <w:tc>
          <w:tcPr>
            <w:tcW w:w="617" w:type="pct"/>
            <w:vMerge w:val="continue"/>
            <w:tcBorders>
              <w:left w:val="single" w:color="000000" w:sz="4" w:space="0"/>
              <w:right w:val="single" w:color="000000" w:sz="4" w:space="0"/>
            </w:tcBorders>
            <w:shd w:val="clear" w:color="auto" w:fill="auto"/>
            <w:vAlign w:val="center"/>
          </w:tcPr>
          <w:p w14:paraId="2D2C7726">
            <w:pPr>
              <w:jc w:val="center"/>
              <w:rPr>
                <w:rFonts w:ascii="仿宋" w:hAnsi="仿宋" w:eastAsia="仿宋" w:cs="仿宋"/>
                <w:color w:val="auto"/>
                <w:szCs w:val="21"/>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DEAE">
            <w:pPr>
              <w:jc w:val="center"/>
              <w:rPr>
                <w:rFonts w:ascii="仿宋" w:hAnsi="仿宋" w:eastAsia="仿宋" w:cs="仿宋"/>
                <w:color w:val="auto"/>
                <w:szCs w:val="21"/>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4AA6">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居住用地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B35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农村宅基地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D904">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0.0394 </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13045">
            <w:pPr>
              <w:jc w:val="center"/>
              <w:rPr>
                <w:rFonts w:ascii="仿宋" w:hAnsi="仿宋" w:eastAsia="仿宋" w:cs="仿宋"/>
                <w:color w:val="auto"/>
                <w:szCs w:val="21"/>
              </w:rPr>
            </w:pPr>
          </w:p>
        </w:tc>
        <w:tc>
          <w:tcPr>
            <w:tcW w:w="9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DC27E">
            <w:pPr>
              <w:jc w:val="center"/>
              <w:rPr>
                <w:rFonts w:ascii="仿宋" w:hAnsi="仿宋" w:eastAsia="仿宋" w:cs="仿宋"/>
                <w:color w:val="auto"/>
                <w:szCs w:val="21"/>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07B7">
            <w:pPr>
              <w:jc w:val="center"/>
              <w:rPr>
                <w:rFonts w:ascii="仿宋" w:hAnsi="仿宋" w:eastAsia="仿宋" w:cs="仿宋"/>
                <w:color w:val="auto"/>
                <w:szCs w:val="21"/>
              </w:rPr>
            </w:pPr>
          </w:p>
        </w:tc>
      </w:tr>
      <w:tr w14:paraId="7B19A604">
        <w:tblPrEx>
          <w:tblCellMar>
            <w:top w:w="0" w:type="dxa"/>
            <w:left w:w="108" w:type="dxa"/>
            <w:bottom w:w="0" w:type="dxa"/>
            <w:right w:w="108" w:type="dxa"/>
          </w:tblCellMar>
        </w:tblPrEx>
        <w:trPr>
          <w:trHeight w:val="560" w:hRule="atLeast"/>
        </w:trPr>
        <w:tc>
          <w:tcPr>
            <w:tcW w:w="617" w:type="pct"/>
            <w:vMerge w:val="continue"/>
            <w:tcBorders>
              <w:left w:val="single" w:color="000000" w:sz="4" w:space="0"/>
              <w:right w:val="single" w:color="000000" w:sz="4" w:space="0"/>
            </w:tcBorders>
            <w:shd w:val="clear" w:color="auto" w:fill="auto"/>
            <w:vAlign w:val="center"/>
          </w:tcPr>
          <w:p w14:paraId="7DEB59F4">
            <w:pPr>
              <w:widowControl/>
              <w:jc w:val="center"/>
              <w:textAlignment w:val="center"/>
              <w:rPr>
                <w:rFonts w:ascii="仿宋" w:hAnsi="仿宋" w:eastAsia="仿宋" w:cs="仿宋"/>
                <w:color w:val="auto"/>
                <w:szCs w:val="21"/>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561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应急停车场1</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D73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农业设施建设用地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07BB">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农村道路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094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0.0094 </w:t>
            </w:r>
          </w:p>
        </w:tc>
        <w:tc>
          <w:tcPr>
            <w:tcW w:w="515" w:type="pct"/>
            <w:tcBorders>
              <w:top w:val="nil"/>
              <w:left w:val="single" w:color="000000" w:sz="4" w:space="0"/>
              <w:bottom w:val="single" w:color="000000" w:sz="4" w:space="0"/>
              <w:right w:val="single" w:color="000000" w:sz="4" w:space="0"/>
            </w:tcBorders>
            <w:shd w:val="clear" w:color="auto" w:fill="auto"/>
            <w:vAlign w:val="center"/>
          </w:tcPr>
          <w:p w14:paraId="66B308BC">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交通运输用地</w:t>
            </w: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8A2EAF3">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交通场站用地</w:t>
            </w:r>
          </w:p>
        </w:tc>
        <w:tc>
          <w:tcPr>
            <w:tcW w:w="493" w:type="pct"/>
            <w:tcBorders>
              <w:top w:val="nil"/>
              <w:left w:val="single" w:color="000000" w:sz="4" w:space="0"/>
              <w:bottom w:val="single" w:color="000000" w:sz="4" w:space="0"/>
              <w:right w:val="single" w:color="000000" w:sz="4" w:space="0"/>
            </w:tcBorders>
            <w:shd w:val="clear" w:color="auto" w:fill="auto"/>
            <w:vAlign w:val="center"/>
          </w:tcPr>
          <w:p w14:paraId="02616ADE">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社会停车场用地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B3C7">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0.0094 </w:t>
            </w:r>
          </w:p>
        </w:tc>
      </w:tr>
      <w:tr w14:paraId="75E44AD4">
        <w:tblPrEx>
          <w:tblCellMar>
            <w:top w:w="0" w:type="dxa"/>
            <w:left w:w="108" w:type="dxa"/>
            <w:bottom w:w="0" w:type="dxa"/>
            <w:right w:w="108" w:type="dxa"/>
          </w:tblCellMar>
        </w:tblPrEx>
        <w:trPr>
          <w:trHeight w:val="480" w:hRule="atLeast"/>
        </w:trPr>
        <w:tc>
          <w:tcPr>
            <w:tcW w:w="617" w:type="pct"/>
            <w:vMerge w:val="continue"/>
            <w:tcBorders>
              <w:left w:val="single" w:color="000000" w:sz="4" w:space="0"/>
              <w:right w:val="single" w:color="000000" w:sz="4" w:space="0"/>
            </w:tcBorders>
            <w:shd w:val="clear" w:color="auto" w:fill="auto"/>
            <w:vAlign w:val="center"/>
          </w:tcPr>
          <w:p w14:paraId="22C1FE20">
            <w:pPr>
              <w:jc w:val="center"/>
              <w:rPr>
                <w:rFonts w:ascii="仿宋" w:hAnsi="仿宋" w:eastAsia="仿宋" w:cs="仿宋"/>
                <w:color w:val="auto"/>
                <w:szCs w:val="21"/>
              </w:rPr>
            </w:pP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E169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应急停车场2</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31C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农业设施建设用地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36E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农村道路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F068">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0.0143 </w:t>
            </w:r>
          </w:p>
        </w:tc>
        <w:tc>
          <w:tcPr>
            <w:tcW w:w="515" w:type="pct"/>
            <w:vMerge w:val="restart"/>
            <w:tcBorders>
              <w:top w:val="nil"/>
              <w:left w:val="single" w:color="000000" w:sz="4" w:space="0"/>
              <w:bottom w:val="single" w:color="000000" w:sz="4" w:space="0"/>
              <w:right w:val="single" w:color="000000" w:sz="4" w:space="0"/>
            </w:tcBorders>
            <w:shd w:val="clear" w:color="auto" w:fill="auto"/>
            <w:vAlign w:val="center"/>
          </w:tcPr>
          <w:p w14:paraId="20C9903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交通运输用地</w:t>
            </w:r>
          </w:p>
        </w:tc>
        <w:tc>
          <w:tcPr>
            <w:tcW w:w="421" w:type="pct"/>
            <w:vMerge w:val="restart"/>
            <w:tcBorders>
              <w:top w:val="nil"/>
              <w:left w:val="single" w:color="000000" w:sz="4" w:space="0"/>
              <w:bottom w:val="single" w:color="000000" w:sz="4" w:space="0"/>
              <w:right w:val="single" w:color="000000" w:sz="4" w:space="0"/>
            </w:tcBorders>
            <w:shd w:val="clear" w:color="auto" w:fill="auto"/>
            <w:vAlign w:val="center"/>
          </w:tcPr>
          <w:p w14:paraId="1AF24B6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交通场站用地</w:t>
            </w:r>
          </w:p>
        </w:tc>
        <w:tc>
          <w:tcPr>
            <w:tcW w:w="493" w:type="pct"/>
            <w:vMerge w:val="restart"/>
            <w:tcBorders>
              <w:top w:val="nil"/>
              <w:left w:val="single" w:color="000000" w:sz="4" w:space="0"/>
              <w:bottom w:val="single" w:color="000000" w:sz="4" w:space="0"/>
              <w:right w:val="single" w:color="000000" w:sz="4" w:space="0"/>
            </w:tcBorders>
            <w:shd w:val="clear" w:color="auto" w:fill="auto"/>
            <w:vAlign w:val="center"/>
          </w:tcPr>
          <w:p w14:paraId="10C78A02">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社会停车场用地</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2C01F">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0.0160 </w:t>
            </w:r>
          </w:p>
        </w:tc>
      </w:tr>
      <w:tr w14:paraId="67C243F4">
        <w:tblPrEx>
          <w:tblCellMar>
            <w:top w:w="0" w:type="dxa"/>
            <w:left w:w="108" w:type="dxa"/>
            <w:bottom w:w="0" w:type="dxa"/>
            <w:right w:w="108" w:type="dxa"/>
          </w:tblCellMar>
        </w:tblPrEx>
        <w:trPr>
          <w:trHeight w:val="480" w:hRule="atLeast"/>
        </w:trPr>
        <w:tc>
          <w:tcPr>
            <w:tcW w:w="617" w:type="pct"/>
            <w:vMerge w:val="continue"/>
            <w:tcBorders>
              <w:left w:val="single" w:color="000000" w:sz="4" w:space="0"/>
              <w:bottom w:val="single" w:color="000000" w:sz="4" w:space="0"/>
              <w:right w:val="single" w:color="000000" w:sz="4" w:space="0"/>
            </w:tcBorders>
            <w:shd w:val="clear" w:color="auto" w:fill="auto"/>
            <w:vAlign w:val="center"/>
          </w:tcPr>
          <w:p w14:paraId="718BCDF5">
            <w:pPr>
              <w:jc w:val="center"/>
              <w:rPr>
                <w:rFonts w:ascii="仿宋" w:hAnsi="仿宋" w:eastAsia="仿宋" w:cs="仿宋"/>
                <w:color w:val="auto"/>
                <w:szCs w:val="21"/>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D8CE3">
            <w:pPr>
              <w:jc w:val="center"/>
              <w:rPr>
                <w:rFonts w:ascii="仿宋" w:hAnsi="仿宋" w:eastAsia="仿宋" w:cs="仿宋"/>
                <w:color w:val="auto"/>
                <w:szCs w:val="21"/>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D4F9">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耕地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6E5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水田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F59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0.0017 </w:t>
            </w:r>
          </w:p>
        </w:tc>
        <w:tc>
          <w:tcPr>
            <w:tcW w:w="515" w:type="pct"/>
            <w:vMerge w:val="continue"/>
            <w:tcBorders>
              <w:top w:val="nil"/>
              <w:left w:val="single" w:color="000000" w:sz="4" w:space="0"/>
              <w:bottom w:val="single" w:color="000000" w:sz="4" w:space="0"/>
              <w:right w:val="single" w:color="000000" w:sz="4" w:space="0"/>
            </w:tcBorders>
            <w:shd w:val="clear" w:color="auto" w:fill="auto"/>
            <w:vAlign w:val="center"/>
          </w:tcPr>
          <w:p w14:paraId="70BBDC26">
            <w:pPr>
              <w:jc w:val="center"/>
              <w:rPr>
                <w:rFonts w:ascii="仿宋" w:hAnsi="仿宋" w:eastAsia="仿宋" w:cs="仿宋"/>
                <w:color w:val="auto"/>
                <w:szCs w:val="21"/>
              </w:rPr>
            </w:pPr>
          </w:p>
        </w:tc>
        <w:tc>
          <w:tcPr>
            <w:tcW w:w="421" w:type="pct"/>
            <w:vMerge w:val="continue"/>
            <w:tcBorders>
              <w:top w:val="nil"/>
              <w:left w:val="single" w:color="000000" w:sz="4" w:space="0"/>
              <w:bottom w:val="single" w:color="000000" w:sz="4" w:space="0"/>
              <w:right w:val="single" w:color="000000" w:sz="4" w:space="0"/>
            </w:tcBorders>
            <w:shd w:val="clear" w:color="auto" w:fill="auto"/>
            <w:vAlign w:val="center"/>
          </w:tcPr>
          <w:p w14:paraId="5BECB812">
            <w:pPr>
              <w:jc w:val="center"/>
              <w:rPr>
                <w:rFonts w:ascii="仿宋" w:hAnsi="仿宋" w:eastAsia="仿宋" w:cs="仿宋"/>
                <w:color w:val="auto"/>
                <w:szCs w:val="21"/>
              </w:rPr>
            </w:pPr>
          </w:p>
        </w:tc>
        <w:tc>
          <w:tcPr>
            <w:tcW w:w="493" w:type="pct"/>
            <w:vMerge w:val="continue"/>
            <w:tcBorders>
              <w:top w:val="nil"/>
              <w:left w:val="single" w:color="000000" w:sz="4" w:space="0"/>
              <w:bottom w:val="single" w:color="000000" w:sz="4" w:space="0"/>
              <w:right w:val="single" w:color="000000" w:sz="4" w:space="0"/>
            </w:tcBorders>
            <w:shd w:val="clear" w:color="auto" w:fill="auto"/>
            <w:vAlign w:val="center"/>
          </w:tcPr>
          <w:p w14:paraId="4A6CC66B">
            <w:pPr>
              <w:jc w:val="center"/>
              <w:rPr>
                <w:rFonts w:ascii="仿宋" w:hAnsi="仿宋" w:eastAsia="仿宋" w:cs="仿宋"/>
                <w:color w:val="auto"/>
                <w:szCs w:val="21"/>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BB55">
            <w:pPr>
              <w:jc w:val="center"/>
              <w:rPr>
                <w:rFonts w:ascii="仿宋" w:hAnsi="仿宋" w:eastAsia="仿宋" w:cs="仿宋"/>
                <w:color w:val="auto"/>
                <w:szCs w:val="21"/>
              </w:rPr>
            </w:pPr>
          </w:p>
        </w:tc>
      </w:tr>
    </w:tbl>
    <w:p w14:paraId="6500F4D9">
      <w:pPr>
        <w:pStyle w:val="12"/>
        <w:ind w:left="420"/>
      </w:pPr>
    </w:p>
    <w:p w14:paraId="0EECFEF2">
      <w:pPr>
        <w:pStyle w:val="3"/>
        <w:rPr>
          <w:rFonts w:ascii="黑体" w:hAnsi="黑体" w:eastAsia="黑体"/>
          <w:sz w:val="30"/>
          <w:szCs w:val="30"/>
        </w:rPr>
      </w:pPr>
      <w:bookmarkStart w:id="20" w:name="_Toc20034"/>
      <w:r>
        <w:rPr>
          <w:rFonts w:hint="eastAsia" w:ascii="黑体" w:hAnsi="黑体" w:eastAsia="黑体"/>
          <w:sz w:val="30"/>
          <w:szCs w:val="30"/>
        </w:rPr>
        <w:t>2、与主要规划指标情况</w:t>
      </w:r>
      <w:bookmarkEnd w:id="20"/>
    </w:p>
    <w:p w14:paraId="754007AD">
      <w:pPr>
        <w:ind w:firstLine="560" w:firstLineChars="200"/>
        <w:rPr>
          <w:rFonts w:hint="eastAsia" w:ascii="Times New Roman" w:hAnsi="Times New Roman" w:eastAsia="仿宋" w:cs="Times New Roman"/>
          <w:kern w:val="0"/>
          <w:sz w:val="28"/>
          <w:szCs w:val="28"/>
          <w:lang w:eastAsia="zh-CN"/>
        </w:rPr>
      </w:pPr>
      <w:r>
        <w:rPr>
          <w:rFonts w:hint="eastAsia" w:ascii="Times New Roman" w:hAnsi="Times New Roman" w:eastAsia="仿宋" w:cs="Times New Roman"/>
          <w:kern w:val="0"/>
          <w:sz w:val="28"/>
          <w:szCs w:val="28"/>
        </w:rPr>
        <w:t>2.</w:t>
      </w:r>
      <w:r>
        <w:rPr>
          <w:rFonts w:hint="eastAsia" w:ascii="Times New Roman" w:hAnsi="Times New Roman" w:eastAsia="仿宋" w:cs="Times New Roman"/>
          <w:kern w:val="0"/>
          <w:sz w:val="28"/>
          <w:szCs w:val="28"/>
          <w:lang w:val="en-US" w:eastAsia="zh-CN"/>
        </w:rPr>
        <w:t>1</w:t>
      </w:r>
      <w:r>
        <w:rPr>
          <w:rFonts w:hint="eastAsia"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lang w:val="en-US" w:eastAsia="zh-CN"/>
        </w:rPr>
        <w:t>耕地保有量</w:t>
      </w:r>
    </w:p>
    <w:p w14:paraId="51A3C3D6">
      <w:pPr>
        <w:ind w:firstLine="560" w:firstLineChars="200"/>
        <w:rPr>
          <w:rFonts w:hint="default" w:ascii="Times New Roman" w:hAnsi="Times New Roman" w:eastAsia="仿宋" w:cs="Times New Roman"/>
          <w:kern w:val="0"/>
          <w:sz w:val="28"/>
          <w:szCs w:val="28"/>
          <w:lang w:val="en-US"/>
        </w:rPr>
      </w:pPr>
      <w:r>
        <w:rPr>
          <w:rFonts w:hint="eastAsia" w:eastAsia="仿宋" w:cs="Times New Roman"/>
          <w:kern w:val="0"/>
          <w:sz w:val="28"/>
          <w:szCs w:val="28"/>
        </w:rPr>
        <w:t>荣昌区</w:t>
      </w:r>
      <w:r>
        <w:rPr>
          <w:rFonts w:hint="eastAsia" w:eastAsia="仿宋" w:cs="Times New Roman"/>
          <w:spacing w:val="0"/>
          <w:kern w:val="0"/>
          <w:sz w:val="28"/>
          <w:szCs w:val="28"/>
        </w:rPr>
        <w:t>万灵镇沙堡村</w:t>
      </w:r>
      <w:r>
        <w:rPr>
          <w:rFonts w:hint="eastAsia" w:ascii="Times New Roman" w:hAnsi="Times New Roman" w:eastAsia="仿宋" w:cs="Times New Roman"/>
          <w:kern w:val="0"/>
          <w:sz w:val="28"/>
          <w:szCs w:val="28"/>
          <w:lang w:val="en-US" w:eastAsia="zh-CN"/>
        </w:rPr>
        <w:t>2023年度国土变更调查中耕地规模为166.28公顷，至2035年，沙堡村耕地规模为166.27公顷，达到耕地保有量（164.60公顷）目标。</w:t>
      </w:r>
    </w:p>
    <w:p w14:paraId="464659BC">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w:t>
      </w:r>
      <w:r>
        <w:rPr>
          <w:rFonts w:hint="eastAsia" w:ascii="Times New Roman" w:hAnsi="Times New Roman" w:eastAsia="仿宋" w:cs="Times New Roman"/>
          <w:kern w:val="0"/>
          <w:sz w:val="28"/>
          <w:szCs w:val="28"/>
          <w:lang w:val="en-US" w:eastAsia="zh-CN"/>
        </w:rPr>
        <w:t>2</w:t>
      </w:r>
      <w:r>
        <w:rPr>
          <w:rFonts w:hint="eastAsia" w:ascii="Times New Roman" w:hAnsi="Times New Roman" w:eastAsia="仿宋" w:cs="Times New Roman"/>
          <w:kern w:val="0"/>
          <w:sz w:val="28"/>
          <w:szCs w:val="28"/>
        </w:rPr>
        <w:t xml:space="preserve"> 永久基本农田</w:t>
      </w:r>
    </w:p>
    <w:p w14:paraId="1C9D7D7A">
      <w:pPr>
        <w:pStyle w:val="12"/>
        <w:ind w:left="0" w:leftChars="0" w:firstLine="539"/>
        <w:jc w:val="left"/>
        <w:rPr>
          <w:rFonts w:eastAsia="仿宋" w:cs="Times New Roman"/>
          <w:spacing w:val="0"/>
          <w:kern w:val="0"/>
          <w:sz w:val="28"/>
          <w:szCs w:val="28"/>
        </w:rPr>
      </w:pPr>
      <w:r>
        <w:rPr>
          <w:rFonts w:hint="eastAsia" w:eastAsia="仿宋" w:cs="Times New Roman"/>
          <w:kern w:val="0"/>
          <w:sz w:val="28"/>
          <w:szCs w:val="28"/>
        </w:rPr>
        <w:t>荣昌区</w:t>
      </w:r>
      <w:r>
        <w:rPr>
          <w:rFonts w:hint="eastAsia" w:eastAsia="仿宋" w:cs="Times New Roman"/>
          <w:spacing w:val="0"/>
          <w:kern w:val="0"/>
          <w:sz w:val="28"/>
          <w:szCs w:val="28"/>
        </w:rPr>
        <w:t>万灵镇沙堡村永久基本农田规模164.60公顷。本次</w:t>
      </w:r>
      <w:r>
        <w:rPr>
          <w:rFonts w:hint="eastAsia" w:eastAsia="仿宋" w:cs="Times New Roman"/>
          <w:spacing w:val="0"/>
          <w:kern w:val="0"/>
          <w:sz w:val="28"/>
          <w:szCs w:val="28"/>
          <w:lang w:val="en-US" w:eastAsia="zh-CN"/>
        </w:rPr>
        <w:t>规划的</w:t>
      </w:r>
      <w:r>
        <w:rPr>
          <w:rFonts w:hint="eastAsia" w:eastAsia="仿宋" w:cs="Times New Roman"/>
          <w:spacing w:val="0"/>
          <w:kern w:val="0"/>
          <w:sz w:val="28"/>
          <w:szCs w:val="28"/>
        </w:rPr>
        <w:t>项目</w:t>
      </w:r>
      <w:r>
        <w:rPr>
          <w:rFonts w:hint="eastAsia" w:eastAsia="仿宋" w:cs="Times New Roman"/>
          <w:spacing w:val="0"/>
          <w:kern w:val="0"/>
          <w:sz w:val="28"/>
          <w:szCs w:val="28"/>
          <w:lang w:val="en-US" w:eastAsia="zh-CN"/>
        </w:rPr>
        <w:t>范围内</w:t>
      </w:r>
      <w:r>
        <w:rPr>
          <w:rFonts w:hint="eastAsia" w:eastAsia="仿宋" w:cs="Times New Roman"/>
          <w:spacing w:val="0"/>
          <w:kern w:val="0"/>
          <w:sz w:val="28"/>
          <w:szCs w:val="28"/>
        </w:rPr>
        <w:t>均不涉及永久基本农田，未突破永久基本农田管控指标。</w:t>
      </w:r>
    </w:p>
    <w:p w14:paraId="57A09AAF">
      <w:pPr>
        <w:pStyle w:val="12"/>
        <w:ind w:left="0" w:leftChars="0" w:firstLine="539"/>
        <w:jc w:val="left"/>
        <w:rPr>
          <w:rFonts w:eastAsia="仿宋" w:cs="Times New Roman"/>
          <w:spacing w:val="0"/>
          <w:kern w:val="0"/>
          <w:sz w:val="28"/>
          <w:szCs w:val="28"/>
        </w:rPr>
      </w:pPr>
      <w:r>
        <w:rPr>
          <w:rFonts w:hint="eastAsia" w:eastAsia="仿宋" w:cs="Times New Roman"/>
          <w:spacing w:val="0"/>
          <w:kern w:val="0"/>
          <w:sz w:val="28"/>
          <w:szCs w:val="28"/>
        </w:rPr>
        <w:t>2.</w:t>
      </w:r>
      <w:r>
        <w:rPr>
          <w:rFonts w:hint="eastAsia" w:eastAsia="仿宋" w:cs="Times New Roman"/>
          <w:spacing w:val="0"/>
          <w:kern w:val="0"/>
          <w:sz w:val="28"/>
          <w:szCs w:val="28"/>
          <w:lang w:val="en-US" w:eastAsia="zh-CN"/>
        </w:rPr>
        <w:t>3</w:t>
      </w:r>
      <w:r>
        <w:rPr>
          <w:rFonts w:hint="eastAsia" w:eastAsia="仿宋" w:cs="Times New Roman"/>
          <w:spacing w:val="0"/>
          <w:kern w:val="0"/>
          <w:sz w:val="28"/>
          <w:szCs w:val="28"/>
        </w:rPr>
        <w:t>生态保护红线</w:t>
      </w:r>
    </w:p>
    <w:p w14:paraId="4954F9EB">
      <w:pPr>
        <w:pStyle w:val="12"/>
        <w:ind w:left="0" w:leftChars="0" w:firstLine="539"/>
        <w:jc w:val="left"/>
        <w:rPr>
          <w:rFonts w:eastAsia="仿宋" w:cs="Times New Roman"/>
          <w:spacing w:val="0"/>
          <w:kern w:val="0"/>
          <w:sz w:val="28"/>
          <w:szCs w:val="28"/>
        </w:rPr>
      </w:pPr>
      <w:r>
        <w:rPr>
          <w:rFonts w:hint="eastAsia" w:eastAsia="仿宋" w:cs="Times New Roman"/>
          <w:kern w:val="0"/>
          <w:sz w:val="28"/>
          <w:szCs w:val="28"/>
        </w:rPr>
        <w:t>荣昌区</w:t>
      </w:r>
      <w:r>
        <w:rPr>
          <w:rFonts w:hint="eastAsia" w:eastAsia="仿宋" w:cs="Times New Roman"/>
          <w:spacing w:val="0"/>
          <w:kern w:val="0"/>
          <w:sz w:val="28"/>
          <w:szCs w:val="28"/>
        </w:rPr>
        <w:t>万灵镇沙堡村生态保护红线</w:t>
      </w:r>
      <w:r>
        <w:rPr>
          <w:rFonts w:hint="eastAsia" w:eastAsia="仿宋" w:cs="Times New Roman"/>
          <w:spacing w:val="0"/>
          <w:kern w:val="0"/>
          <w:sz w:val="28"/>
          <w:szCs w:val="28"/>
          <w:lang w:val="en-US" w:eastAsia="zh-CN"/>
        </w:rPr>
        <w:t>规模3.88公顷</w:t>
      </w:r>
      <w:r>
        <w:rPr>
          <w:rFonts w:hint="eastAsia" w:eastAsia="仿宋" w:cs="Times New Roman"/>
          <w:spacing w:val="0"/>
          <w:kern w:val="0"/>
          <w:sz w:val="28"/>
          <w:szCs w:val="28"/>
        </w:rPr>
        <w:t>，本次</w:t>
      </w:r>
      <w:r>
        <w:rPr>
          <w:rFonts w:hint="eastAsia" w:eastAsia="仿宋" w:cs="Times New Roman"/>
          <w:spacing w:val="0"/>
          <w:kern w:val="0"/>
          <w:sz w:val="28"/>
          <w:szCs w:val="28"/>
          <w:lang w:val="en-US" w:eastAsia="zh-CN"/>
        </w:rPr>
        <w:t>规划的</w:t>
      </w:r>
      <w:r>
        <w:rPr>
          <w:rFonts w:hint="eastAsia" w:eastAsia="仿宋" w:cs="Times New Roman"/>
          <w:spacing w:val="0"/>
          <w:kern w:val="0"/>
          <w:sz w:val="28"/>
          <w:szCs w:val="28"/>
        </w:rPr>
        <w:t>项目</w:t>
      </w:r>
      <w:r>
        <w:rPr>
          <w:rFonts w:hint="eastAsia" w:eastAsia="仿宋" w:cs="Times New Roman"/>
          <w:spacing w:val="0"/>
          <w:kern w:val="0"/>
          <w:sz w:val="28"/>
          <w:szCs w:val="28"/>
          <w:lang w:val="en-US" w:eastAsia="zh-CN"/>
        </w:rPr>
        <w:t>范围内</w:t>
      </w:r>
      <w:r>
        <w:rPr>
          <w:rFonts w:hint="eastAsia" w:eastAsia="仿宋" w:cs="Times New Roman"/>
          <w:spacing w:val="0"/>
          <w:kern w:val="0"/>
          <w:sz w:val="28"/>
          <w:szCs w:val="28"/>
        </w:rPr>
        <w:t>均不涉及</w:t>
      </w:r>
      <w:r>
        <w:rPr>
          <w:rFonts w:hint="eastAsia" w:eastAsia="仿宋" w:cs="Times New Roman"/>
          <w:spacing w:val="0"/>
          <w:kern w:val="0"/>
          <w:sz w:val="28"/>
          <w:szCs w:val="28"/>
          <w:lang w:val="en-US" w:eastAsia="zh-CN"/>
        </w:rPr>
        <w:t>生态保护红线，</w:t>
      </w:r>
      <w:r>
        <w:rPr>
          <w:rFonts w:hint="eastAsia" w:eastAsia="仿宋" w:cs="Times New Roman"/>
          <w:spacing w:val="0"/>
          <w:kern w:val="0"/>
          <w:sz w:val="28"/>
          <w:szCs w:val="28"/>
        </w:rPr>
        <w:t>未突破生态保护红线管控指标。</w:t>
      </w:r>
    </w:p>
    <w:p w14:paraId="3FEF74CF">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w:t>
      </w:r>
      <w:r>
        <w:rPr>
          <w:rFonts w:hint="eastAsia" w:ascii="Times New Roman" w:hAnsi="Times New Roman" w:eastAsia="仿宋" w:cs="Times New Roman"/>
          <w:kern w:val="0"/>
          <w:sz w:val="28"/>
          <w:szCs w:val="28"/>
          <w:lang w:val="en-US" w:eastAsia="zh-CN"/>
        </w:rPr>
        <w:t>4</w:t>
      </w:r>
      <w:r>
        <w:rPr>
          <w:rFonts w:hint="eastAsia" w:ascii="Times New Roman" w:hAnsi="Times New Roman" w:eastAsia="仿宋" w:cs="Times New Roman"/>
          <w:kern w:val="0"/>
          <w:sz w:val="28"/>
          <w:szCs w:val="28"/>
        </w:rPr>
        <w:t xml:space="preserve"> 村庄用地规模</w:t>
      </w:r>
    </w:p>
    <w:p w14:paraId="049D2800">
      <w:pPr>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根据《关于学习运用“千万工程”经验进一步提高村庄规划实效的通知》渝规资〔2024〕217号</w:t>
      </w:r>
      <w:r>
        <w:rPr>
          <w:rFonts w:hint="eastAsia" w:ascii="Times New Roman" w:hAnsi="Times New Roman" w:eastAsia="仿宋" w:cs="Times New Roman"/>
          <w:kern w:val="0"/>
          <w:sz w:val="28"/>
          <w:szCs w:val="28"/>
        </w:rPr>
        <w:t>文件</w:t>
      </w:r>
      <w:r>
        <w:rPr>
          <w:rFonts w:ascii="Times New Roman" w:hAnsi="Times New Roman" w:eastAsia="仿宋" w:cs="Times New Roman"/>
          <w:kern w:val="0"/>
          <w:sz w:val="28"/>
          <w:szCs w:val="28"/>
        </w:rPr>
        <w:t>要求“至规划期末，区县域建设用地规模不超过2020年度国土变更调查村庄用地（203）规模”。</w:t>
      </w:r>
      <w:r>
        <w:rPr>
          <w:rFonts w:hint="eastAsia" w:ascii="Times New Roman" w:hAnsi="Times New Roman" w:eastAsia="仿宋" w:cs="Times New Roman"/>
          <w:kern w:val="0"/>
          <w:sz w:val="28"/>
          <w:szCs w:val="28"/>
        </w:rPr>
        <w:t>荣昌区</w:t>
      </w:r>
      <w:r>
        <w:rPr>
          <w:rFonts w:hint="eastAsia" w:eastAsia="仿宋" w:cs="Times New Roman"/>
          <w:kern w:val="0"/>
          <w:sz w:val="28"/>
          <w:szCs w:val="28"/>
        </w:rPr>
        <w:t>万灵镇沙堡村</w:t>
      </w:r>
      <w:r>
        <w:rPr>
          <w:rFonts w:ascii="Times New Roman" w:hAnsi="Times New Roman" w:eastAsia="仿宋" w:cs="Times New Roman"/>
          <w:kern w:val="0"/>
          <w:sz w:val="28"/>
          <w:szCs w:val="28"/>
        </w:rPr>
        <w:t>2020年村庄用地规模为</w:t>
      </w:r>
      <w:r>
        <w:rPr>
          <w:rFonts w:hint="eastAsia" w:ascii="Times New Roman" w:hAnsi="Times New Roman" w:eastAsia="仿宋" w:cs="Times New Roman"/>
          <w:kern w:val="0"/>
          <w:sz w:val="28"/>
          <w:szCs w:val="28"/>
        </w:rPr>
        <w:t>58.03</w:t>
      </w:r>
      <w:r>
        <w:rPr>
          <w:rFonts w:ascii="Times New Roman" w:hAnsi="Times New Roman" w:eastAsia="仿宋" w:cs="Times New Roman"/>
          <w:kern w:val="0"/>
          <w:sz w:val="28"/>
          <w:szCs w:val="28"/>
        </w:rPr>
        <w:t>公顷，</w:t>
      </w:r>
      <w:r>
        <w:rPr>
          <w:rFonts w:hint="eastAsia" w:ascii="Times New Roman" w:hAnsi="Times New Roman" w:eastAsia="仿宋" w:cs="Times New Roman"/>
          <w:kern w:val="0"/>
          <w:sz w:val="28"/>
          <w:szCs w:val="28"/>
        </w:rPr>
        <w:t>项目落实后</w:t>
      </w:r>
      <w:r>
        <w:rPr>
          <w:rFonts w:ascii="Times New Roman" w:hAnsi="Times New Roman" w:eastAsia="仿宋" w:cs="Times New Roman"/>
          <w:kern w:val="0"/>
          <w:sz w:val="28"/>
          <w:szCs w:val="28"/>
        </w:rPr>
        <w:t>，</w:t>
      </w:r>
      <w:r>
        <w:rPr>
          <w:rFonts w:hint="eastAsia" w:eastAsia="仿宋" w:cs="Times New Roman"/>
          <w:kern w:val="0"/>
          <w:sz w:val="28"/>
          <w:szCs w:val="28"/>
        </w:rPr>
        <w:t>万灵镇沙堡村</w:t>
      </w:r>
      <w:r>
        <w:rPr>
          <w:rFonts w:ascii="Times New Roman" w:hAnsi="Times New Roman" w:eastAsia="仿宋" w:cs="Times New Roman"/>
          <w:kern w:val="0"/>
          <w:sz w:val="28"/>
          <w:szCs w:val="28"/>
        </w:rPr>
        <w:t>村庄用地规模均未突破2020年村庄用地规模。详见下表：</w:t>
      </w:r>
    </w:p>
    <w:p w14:paraId="59F90430">
      <w:pPr>
        <w:pStyle w:val="12"/>
        <w:ind w:left="0" w:leftChars="0" w:firstLine="539"/>
        <w:rPr>
          <w:rFonts w:ascii="仿宋" w:hAnsi="仿宋" w:eastAsia="仿宋"/>
          <w:sz w:val="28"/>
          <w:szCs w:val="28"/>
        </w:rPr>
      </w:pPr>
      <w:r>
        <w:rPr>
          <w:rFonts w:hint="eastAsia" w:ascii="仿宋" w:hAnsi="仿宋" w:eastAsia="仿宋"/>
          <w:sz w:val="28"/>
          <w:szCs w:val="28"/>
        </w:rPr>
        <w:t>表4-2 万灵镇沙堡村规划目标表</w:t>
      </w:r>
    </w:p>
    <w:tbl>
      <w:tblPr>
        <w:tblStyle w:val="13"/>
        <w:tblW w:w="5000" w:type="pct"/>
        <w:tblInd w:w="0" w:type="dxa"/>
        <w:tblLayout w:type="autofit"/>
        <w:tblCellMar>
          <w:top w:w="0" w:type="dxa"/>
          <w:left w:w="108" w:type="dxa"/>
          <w:bottom w:w="0" w:type="dxa"/>
          <w:right w:w="108" w:type="dxa"/>
        </w:tblCellMar>
      </w:tblPr>
      <w:tblGrid>
        <w:gridCol w:w="1586"/>
        <w:gridCol w:w="2136"/>
        <w:gridCol w:w="2136"/>
        <w:gridCol w:w="1566"/>
        <w:gridCol w:w="1098"/>
      </w:tblGrid>
      <w:tr w14:paraId="0B9B21CF">
        <w:tblPrEx>
          <w:tblCellMar>
            <w:top w:w="0" w:type="dxa"/>
            <w:left w:w="108" w:type="dxa"/>
            <w:bottom w:w="0" w:type="dxa"/>
            <w:right w:w="108" w:type="dxa"/>
          </w:tblCellMar>
        </w:tblPrEx>
        <w:trPr>
          <w:trHeight w:val="285" w:hRule="atLeast"/>
        </w:trPr>
        <w:tc>
          <w:tcPr>
            <w:tcW w:w="9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3E198">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指标</w:t>
            </w:r>
          </w:p>
        </w:tc>
        <w:tc>
          <w:tcPr>
            <w:tcW w:w="1253" w:type="pct"/>
            <w:tcBorders>
              <w:top w:val="single" w:color="auto" w:sz="4" w:space="0"/>
              <w:left w:val="nil"/>
              <w:bottom w:val="single" w:color="auto" w:sz="4" w:space="0"/>
              <w:right w:val="single" w:color="auto" w:sz="4" w:space="0"/>
            </w:tcBorders>
            <w:shd w:val="clear" w:color="auto" w:fill="auto"/>
            <w:noWrap/>
            <w:vAlign w:val="center"/>
          </w:tcPr>
          <w:p w14:paraId="08A0D88A">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基期年（2023年）</w:t>
            </w:r>
          </w:p>
        </w:tc>
        <w:tc>
          <w:tcPr>
            <w:tcW w:w="1253" w:type="pct"/>
            <w:tcBorders>
              <w:top w:val="single" w:color="auto" w:sz="4" w:space="0"/>
              <w:left w:val="nil"/>
              <w:bottom w:val="single" w:color="auto" w:sz="4" w:space="0"/>
              <w:right w:val="single" w:color="auto" w:sz="4" w:space="0"/>
            </w:tcBorders>
            <w:shd w:val="clear" w:color="auto" w:fill="auto"/>
            <w:noWrap/>
            <w:vAlign w:val="center"/>
          </w:tcPr>
          <w:p w14:paraId="2E5AE709">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目标年（2035年）</w:t>
            </w:r>
          </w:p>
        </w:tc>
        <w:tc>
          <w:tcPr>
            <w:tcW w:w="919" w:type="pct"/>
            <w:tcBorders>
              <w:top w:val="single" w:color="auto" w:sz="4" w:space="0"/>
              <w:left w:val="nil"/>
              <w:bottom w:val="single" w:color="auto" w:sz="4" w:space="0"/>
              <w:right w:val="single" w:color="auto" w:sz="4" w:space="0"/>
            </w:tcBorders>
            <w:shd w:val="clear" w:color="auto" w:fill="auto"/>
            <w:noWrap/>
            <w:vAlign w:val="center"/>
          </w:tcPr>
          <w:p w14:paraId="03CE1483">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变化量</w:t>
            </w:r>
          </w:p>
        </w:tc>
        <w:tc>
          <w:tcPr>
            <w:tcW w:w="644" w:type="pct"/>
            <w:tcBorders>
              <w:top w:val="single" w:color="auto" w:sz="4" w:space="0"/>
              <w:left w:val="nil"/>
              <w:bottom w:val="single" w:color="auto" w:sz="4" w:space="0"/>
              <w:right w:val="single" w:color="auto" w:sz="4" w:space="0"/>
            </w:tcBorders>
            <w:shd w:val="clear" w:color="auto" w:fill="auto"/>
            <w:noWrap/>
            <w:vAlign w:val="center"/>
          </w:tcPr>
          <w:p w14:paraId="0AD81C2F">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属性</w:t>
            </w:r>
          </w:p>
        </w:tc>
      </w:tr>
      <w:tr w14:paraId="60BE419F">
        <w:tblPrEx>
          <w:tblCellMar>
            <w:top w:w="0" w:type="dxa"/>
            <w:left w:w="108" w:type="dxa"/>
            <w:bottom w:w="0" w:type="dxa"/>
            <w:right w:w="108" w:type="dxa"/>
          </w:tblCellMar>
        </w:tblPrEx>
        <w:trPr>
          <w:trHeight w:val="285" w:hRule="atLeast"/>
        </w:trPr>
        <w:tc>
          <w:tcPr>
            <w:tcW w:w="931" w:type="pct"/>
            <w:tcBorders>
              <w:top w:val="nil"/>
              <w:left w:val="single" w:color="auto" w:sz="4" w:space="0"/>
              <w:bottom w:val="single" w:color="auto" w:sz="4" w:space="0"/>
              <w:right w:val="single" w:color="auto" w:sz="4" w:space="0"/>
            </w:tcBorders>
            <w:shd w:val="clear" w:color="auto" w:fill="auto"/>
            <w:noWrap/>
            <w:vAlign w:val="center"/>
          </w:tcPr>
          <w:p w14:paraId="055B8E8F">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耕地保有量</w:t>
            </w:r>
          </w:p>
        </w:tc>
        <w:tc>
          <w:tcPr>
            <w:tcW w:w="2136" w:type="dxa"/>
            <w:tcBorders>
              <w:top w:val="nil"/>
              <w:left w:val="nil"/>
              <w:bottom w:val="single" w:color="auto" w:sz="4" w:space="0"/>
              <w:right w:val="single" w:color="auto" w:sz="4" w:space="0"/>
            </w:tcBorders>
            <w:shd w:val="clear" w:color="auto" w:fill="auto"/>
            <w:noWrap/>
            <w:vAlign w:val="center"/>
          </w:tcPr>
          <w:p w14:paraId="01805EE3">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 xml:space="preserve">164.60 </w:t>
            </w:r>
          </w:p>
        </w:tc>
        <w:tc>
          <w:tcPr>
            <w:tcW w:w="2136" w:type="dxa"/>
            <w:tcBorders>
              <w:top w:val="nil"/>
              <w:left w:val="nil"/>
              <w:bottom w:val="single" w:color="auto" w:sz="4" w:space="0"/>
              <w:right w:val="single" w:color="auto" w:sz="4" w:space="0"/>
            </w:tcBorders>
            <w:shd w:val="clear" w:color="auto" w:fill="auto"/>
            <w:noWrap/>
            <w:vAlign w:val="center"/>
          </w:tcPr>
          <w:p w14:paraId="39484977">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 xml:space="preserve">164.60 </w:t>
            </w:r>
          </w:p>
        </w:tc>
        <w:tc>
          <w:tcPr>
            <w:tcW w:w="1566" w:type="dxa"/>
            <w:tcBorders>
              <w:top w:val="nil"/>
              <w:left w:val="nil"/>
              <w:bottom w:val="single" w:color="auto" w:sz="4" w:space="0"/>
              <w:right w:val="single" w:color="auto" w:sz="4" w:space="0"/>
            </w:tcBorders>
            <w:shd w:val="clear" w:color="auto" w:fill="auto"/>
            <w:noWrap/>
            <w:vAlign w:val="center"/>
          </w:tcPr>
          <w:p w14:paraId="5437D96A">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0</w:t>
            </w:r>
          </w:p>
        </w:tc>
        <w:tc>
          <w:tcPr>
            <w:tcW w:w="644" w:type="pct"/>
            <w:tcBorders>
              <w:top w:val="nil"/>
              <w:left w:val="nil"/>
              <w:bottom w:val="single" w:color="auto" w:sz="4" w:space="0"/>
              <w:right w:val="single" w:color="auto" w:sz="4" w:space="0"/>
            </w:tcBorders>
            <w:shd w:val="clear" w:color="auto" w:fill="auto"/>
            <w:noWrap/>
            <w:vAlign w:val="center"/>
          </w:tcPr>
          <w:p w14:paraId="19220D8D">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约束性</w:t>
            </w:r>
          </w:p>
        </w:tc>
      </w:tr>
      <w:tr w14:paraId="132E96C4">
        <w:tblPrEx>
          <w:tblCellMar>
            <w:top w:w="0" w:type="dxa"/>
            <w:left w:w="108" w:type="dxa"/>
            <w:bottom w:w="0" w:type="dxa"/>
            <w:right w:w="108" w:type="dxa"/>
          </w:tblCellMar>
        </w:tblPrEx>
        <w:trPr>
          <w:trHeight w:val="285" w:hRule="atLeast"/>
        </w:trPr>
        <w:tc>
          <w:tcPr>
            <w:tcW w:w="931" w:type="pct"/>
            <w:tcBorders>
              <w:top w:val="nil"/>
              <w:left w:val="single" w:color="auto" w:sz="4" w:space="0"/>
              <w:bottom w:val="single" w:color="auto" w:sz="4" w:space="0"/>
              <w:right w:val="single" w:color="auto" w:sz="4" w:space="0"/>
            </w:tcBorders>
            <w:shd w:val="clear" w:color="auto" w:fill="auto"/>
            <w:noWrap/>
            <w:vAlign w:val="center"/>
          </w:tcPr>
          <w:p w14:paraId="05C5F281">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永久基本农田</w:t>
            </w:r>
          </w:p>
        </w:tc>
        <w:tc>
          <w:tcPr>
            <w:tcW w:w="2136" w:type="dxa"/>
            <w:tcBorders>
              <w:top w:val="nil"/>
              <w:left w:val="nil"/>
              <w:bottom w:val="single" w:color="auto" w:sz="4" w:space="0"/>
              <w:right w:val="single" w:color="auto" w:sz="4" w:space="0"/>
            </w:tcBorders>
            <w:shd w:val="clear" w:color="auto" w:fill="auto"/>
            <w:noWrap/>
            <w:vAlign w:val="center"/>
          </w:tcPr>
          <w:p w14:paraId="2041D9D7">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 xml:space="preserve">106.61 </w:t>
            </w:r>
          </w:p>
        </w:tc>
        <w:tc>
          <w:tcPr>
            <w:tcW w:w="2136" w:type="dxa"/>
            <w:tcBorders>
              <w:top w:val="nil"/>
              <w:left w:val="nil"/>
              <w:bottom w:val="single" w:color="auto" w:sz="4" w:space="0"/>
              <w:right w:val="single" w:color="auto" w:sz="4" w:space="0"/>
            </w:tcBorders>
            <w:shd w:val="clear" w:color="auto" w:fill="auto"/>
            <w:noWrap/>
            <w:vAlign w:val="center"/>
          </w:tcPr>
          <w:p w14:paraId="66FB4D70">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 xml:space="preserve">106.61 </w:t>
            </w:r>
          </w:p>
        </w:tc>
        <w:tc>
          <w:tcPr>
            <w:tcW w:w="1566" w:type="dxa"/>
            <w:tcBorders>
              <w:top w:val="nil"/>
              <w:left w:val="nil"/>
              <w:bottom w:val="single" w:color="auto" w:sz="4" w:space="0"/>
              <w:right w:val="single" w:color="auto" w:sz="4" w:space="0"/>
            </w:tcBorders>
            <w:shd w:val="clear" w:color="auto" w:fill="auto"/>
            <w:noWrap/>
            <w:vAlign w:val="center"/>
          </w:tcPr>
          <w:p w14:paraId="60791B12">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0</w:t>
            </w:r>
          </w:p>
        </w:tc>
        <w:tc>
          <w:tcPr>
            <w:tcW w:w="644" w:type="pct"/>
            <w:tcBorders>
              <w:top w:val="nil"/>
              <w:left w:val="nil"/>
              <w:bottom w:val="single" w:color="auto" w:sz="4" w:space="0"/>
              <w:right w:val="single" w:color="auto" w:sz="4" w:space="0"/>
            </w:tcBorders>
            <w:shd w:val="clear" w:color="auto" w:fill="auto"/>
            <w:noWrap/>
            <w:vAlign w:val="center"/>
          </w:tcPr>
          <w:p w14:paraId="1374C7BA">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约束性</w:t>
            </w:r>
          </w:p>
        </w:tc>
      </w:tr>
      <w:tr w14:paraId="347160FA">
        <w:tblPrEx>
          <w:tblCellMar>
            <w:top w:w="0" w:type="dxa"/>
            <w:left w:w="108" w:type="dxa"/>
            <w:bottom w:w="0" w:type="dxa"/>
            <w:right w:w="108" w:type="dxa"/>
          </w:tblCellMar>
        </w:tblPrEx>
        <w:trPr>
          <w:trHeight w:val="285" w:hRule="atLeast"/>
        </w:trPr>
        <w:tc>
          <w:tcPr>
            <w:tcW w:w="931" w:type="pct"/>
            <w:tcBorders>
              <w:top w:val="nil"/>
              <w:left w:val="single" w:color="auto" w:sz="4" w:space="0"/>
              <w:bottom w:val="single" w:color="auto" w:sz="4" w:space="0"/>
              <w:right w:val="single" w:color="auto" w:sz="4" w:space="0"/>
            </w:tcBorders>
            <w:shd w:val="clear" w:color="auto" w:fill="auto"/>
            <w:noWrap/>
            <w:vAlign w:val="center"/>
          </w:tcPr>
          <w:p w14:paraId="0EC74C43">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生态保护红线</w:t>
            </w:r>
          </w:p>
        </w:tc>
        <w:tc>
          <w:tcPr>
            <w:tcW w:w="2136" w:type="dxa"/>
            <w:tcBorders>
              <w:top w:val="nil"/>
              <w:left w:val="nil"/>
              <w:bottom w:val="single" w:color="auto" w:sz="4" w:space="0"/>
              <w:right w:val="single" w:color="auto" w:sz="4" w:space="0"/>
            </w:tcBorders>
            <w:shd w:val="clear" w:color="auto" w:fill="auto"/>
            <w:noWrap/>
            <w:vAlign w:val="center"/>
          </w:tcPr>
          <w:p w14:paraId="7720974E">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 xml:space="preserve">3.88 </w:t>
            </w:r>
          </w:p>
        </w:tc>
        <w:tc>
          <w:tcPr>
            <w:tcW w:w="2136" w:type="dxa"/>
            <w:tcBorders>
              <w:top w:val="nil"/>
              <w:left w:val="nil"/>
              <w:bottom w:val="single" w:color="auto" w:sz="4" w:space="0"/>
              <w:right w:val="single" w:color="auto" w:sz="4" w:space="0"/>
            </w:tcBorders>
            <w:shd w:val="clear" w:color="auto" w:fill="auto"/>
            <w:noWrap/>
            <w:vAlign w:val="center"/>
          </w:tcPr>
          <w:p w14:paraId="17DB84F3">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 xml:space="preserve">3.88 </w:t>
            </w:r>
          </w:p>
        </w:tc>
        <w:tc>
          <w:tcPr>
            <w:tcW w:w="1566" w:type="dxa"/>
            <w:tcBorders>
              <w:top w:val="nil"/>
              <w:left w:val="nil"/>
              <w:bottom w:val="single" w:color="auto" w:sz="4" w:space="0"/>
              <w:right w:val="single" w:color="auto" w:sz="4" w:space="0"/>
            </w:tcBorders>
            <w:shd w:val="clear" w:color="auto" w:fill="auto"/>
            <w:noWrap/>
            <w:vAlign w:val="center"/>
          </w:tcPr>
          <w:p w14:paraId="04E65622">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0</w:t>
            </w:r>
          </w:p>
        </w:tc>
        <w:tc>
          <w:tcPr>
            <w:tcW w:w="644" w:type="pct"/>
            <w:tcBorders>
              <w:top w:val="nil"/>
              <w:left w:val="nil"/>
              <w:bottom w:val="single" w:color="auto" w:sz="4" w:space="0"/>
              <w:right w:val="single" w:color="auto" w:sz="4" w:space="0"/>
            </w:tcBorders>
            <w:shd w:val="clear" w:color="auto" w:fill="auto"/>
            <w:noWrap/>
            <w:vAlign w:val="center"/>
          </w:tcPr>
          <w:p w14:paraId="153148F9">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约束性</w:t>
            </w:r>
          </w:p>
        </w:tc>
      </w:tr>
      <w:tr w14:paraId="0986D858">
        <w:tblPrEx>
          <w:tblCellMar>
            <w:top w:w="0" w:type="dxa"/>
            <w:left w:w="108" w:type="dxa"/>
            <w:bottom w:w="0" w:type="dxa"/>
            <w:right w:w="108" w:type="dxa"/>
          </w:tblCellMar>
        </w:tblPrEx>
        <w:trPr>
          <w:trHeight w:val="285" w:hRule="atLeast"/>
        </w:trPr>
        <w:tc>
          <w:tcPr>
            <w:tcW w:w="931" w:type="pct"/>
            <w:tcBorders>
              <w:top w:val="nil"/>
              <w:left w:val="single" w:color="auto" w:sz="4" w:space="0"/>
              <w:bottom w:val="single" w:color="auto" w:sz="4" w:space="0"/>
              <w:right w:val="single" w:color="auto" w:sz="4" w:space="0"/>
            </w:tcBorders>
            <w:shd w:val="clear" w:color="auto" w:fill="auto"/>
            <w:noWrap/>
            <w:vAlign w:val="center"/>
          </w:tcPr>
          <w:p w14:paraId="1D0DAC2D">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村庄用地</w:t>
            </w:r>
          </w:p>
        </w:tc>
        <w:tc>
          <w:tcPr>
            <w:tcW w:w="2136" w:type="dxa"/>
            <w:tcBorders>
              <w:top w:val="nil"/>
              <w:left w:val="nil"/>
              <w:bottom w:val="single" w:color="auto" w:sz="4" w:space="0"/>
              <w:right w:val="single" w:color="auto" w:sz="4" w:space="0"/>
            </w:tcBorders>
            <w:shd w:val="clear" w:color="auto" w:fill="auto"/>
            <w:noWrap/>
            <w:vAlign w:val="center"/>
          </w:tcPr>
          <w:p w14:paraId="2D628FB8">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 xml:space="preserve">57.32 </w:t>
            </w:r>
          </w:p>
        </w:tc>
        <w:tc>
          <w:tcPr>
            <w:tcW w:w="2136" w:type="dxa"/>
            <w:tcBorders>
              <w:top w:val="nil"/>
              <w:left w:val="nil"/>
              <w:bottom w:val="single" w:color="auto" w:sz="4" w:space="0"/>
              <w:right w:val="single" w:color="auto" w:sz="4" w:space="0"/>
            </w:tcBorders>
            <w:shd w:val="clear" w:color="auto" w:fill="auto"/>
            <w:noWrap/>
            <w:vAlign w:val="center"/>
          </w:tcPr>
          <w:p w14:paraId="262A7072">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 xml:space="preserve">58.03 </w:t>
            </w:r>
          </w:p>
        </w:tc>
        <w:tc>
          <w:tcPr>
            <w:tcW w:w="1566" w:type="dxa"/>
            <w:tcBorders>
              <w:top w:val="nil"/>
              <w:left w:val="nil"/>
              <w:bottom w:val="single" w:color="auto" w:sz="4" w:space="0"/>
              <w:right w:val="single" w:color="auto" w:sz="4" w:space="0"/>
            </w:tcBorders>
            <w:shd w:val="clear" w:color="auto" w:fill="auto"/>
            <w:noWrap/>
            <w:vAlign w:val="center"/>
          </w:tcPr>
          <w:p w14:paraId="76FBF250">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0.71</w:t>
            </w:r>
          </w:p>
        </w:tc>
        <w:tc>
          <w:tcPr>
            <w:tcW w:w="644" w:type="pct"/>
            <w:tcBorders>
              <w:top w:val="nil"/>
              <w:left w:val="nil"/>
              <w:bottom w:val="single" w:color="auto" w:sz="4" w:space="0"/>
              <w:right w:val="single" w:color="auto" w:sz="4" w:space="0"/>
            </w:tcBorders>
            <w:shd w:val="clear" w:color="auto" w:fill="auto"/>
            <w:noWrap/>
            <w:vAlign w:val="center"/>
          </w:tcPr>
          <w:p w14:paraId="1C76BFF4">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约束性</w:t>
            </w:r>
          </w:p>
        </w:tc>
      </w:tr>
    </w:tbl>
    <w:p w14:paraId="38C08BC4">
      <w:pPr>
        <w:pStyle w:val="2"/>
        <w:jc w:val="center"/>
        <w:rPr>
          <w:rFonts w:eastAsia="黑体"/>
          <w:sz w:val="32"/>
        </w:rPr>
      </w:pPr>
      <w:r>
        <w:rPr>
          <w:rFonts w:hint="eastAsia" w:eastAsia="黑体"/>
          <w:sz w:val="32"/>
        </w:rPr>
        <w:tab/>
      </w:r>
      <w:bookmarkStart w:id="21" w:name="_Toc17222"/>
      <w:r>
        <w:rPr>
          <w:rFonts w:hint="eastAsia" w:eastAsia="黑体"/>
          <w:sz w:val="32"/>
        </w:rPr>
        <w:t>第五章  项目安全与防灾减灾要求</w:t>
      </w:r>
      <w:bookmarkEnd w:id="21"/>
    </w:p>
    <w:p w14:paraId="55571373">
      <w:pPr>
        <w:pStyle w:val="3"/>
        <w:spacing w:before="0" w:after="0" w:line="360" w:lineRule="auto"/>
        <w:rPr>
          <w:rFonts w:ascii="黑体" w:hAnsi="黑体" w:eastAsia="黑体"/>
          <w:sz w:val="30"/>
          <w:szCs w:val="30"/>
        </w:rPr>
      </w:pPr>
      <w:bookmarkStart w:id="22" w:name="_Toc26588"/>
      <w:bookmarkStart w:id="23" w:name="_Toc29380"/>
      <w:r>
        <w:rPr>
          <w:rFonts w:hint="eastAsia" w:ascii="黑体" w:hAnsi="黑体" w:eastAsia="黑体"/>
          <w:sz w:val="30"/>
          <w:szCs w:val="30"/>
        </w:rPr>
        <w:t>1、防震</w:t>
      </w:r>
      <w:bookmarkEnd w:id="22"/>
      <w:r>
        <w:rPr>
          <w:rFonts w:hint="eastAsia" w:ascii="黑体" w:hAnsi="黑体" w:eastAsia="黑体"/>
          <w:sz w:val="30"/>
          <w:szCs w:val="30"/>
        </w:rPr>
        <w:t>抗震</w:t>
      </w:r>
      <w:bookmarkEnd w:id="23"/>
    </w:p>
    <w:p w14:paraId="09CA0F83">
      <w:pPr>
        <w:pStyle w:val="16"/>
        <w:spacing w:line="360" w:lineRule="auto"/>
        <w:ind w:firstLine="560" w:firstLineChars="200"/>
        <w:rPr>
          <w:rFonts w:eastAsia="仿宋_GB2312"/>
          <w:color w:val="auto"/>
          <w:sz w:val="28"/>
          <w:szCs w:val="28"/>
        </w:rPr>
      </w:pPr>
      <w:r>
        <w:rPr>
          <w:rFonts w:hint="eastAsia" w:eastAsia="仿宋"/>
          <w:sz w:val="28"/>
          <w:szCs w:val="28"/>
        </w:rPr>
        <w:t>贯彻“预防为主，防、避、救相结合”的防震方针，对不安全的建筑要进行加固或拆迁。村域所有建筑物按6度设防，重要建筑物和生命线工程按7度设防。</w:t>
      </w:r>
    </w:p>
    <w:p w14:paraId="0A02A36E">
      <w:pPr>
        <w:pStyle w:val="3"/>
        <w:spacing w:before="0" w:after="0" w:line="360" w:lineRule="auto"/>
        <w:rPr>
          <w:rFonts w:ascii="黑体" w:hAnsi="黑体" w:eastAsia="黑体"/>
          <w:sz w:val="30"/>
          <w:szCs w:val="30"/>
        </w:rPr>
      </w:pPr>
      <w:bookmarkStart w:id="24" w:name="_Toc17429"/>
      <w:bookmarkStart w:id="25" w:name="_Toc24231"/>
      <w:r>
        <w:rPr>
          <w:rFonts w:hint="eastAsia" w:ascii="黑体" w:hAnsi="黑体" w:eastAsia="黑体"/>
          <w:sz w:val="30"/>
          <w:szCs w:val="30"/>
        </w:rPr>
        <w:t>2、</w:t>
      </w:r>
      <w:r>
        <w:rPr>
          <w:rFonts w:hint="eastAsia" w:ascii="黑体" w:hAnsi="黑体" w:eastAsia="黑体"/>
          <w:sz w:val="30"/>
          <w:szCs w:val="30"/>
          <w:lang w:val="en-US" w:eastAsia="zh-CN"/>
        </w:rPr>
        <w:t>防</w:t>
      </w:r>
      <w:r>
        <w:rPr>
          <w:rFonts w:hint="eastAsia" w:ascii="黑体" w:hAnsi="黑体" w:eastAsia="黑体"/>
          <w:sz w:val="30"/>
          <w:szCs w:val="30"/>
        </w:rPr>
        <w:t>气象灾害</w:t>
      </w:r>
      <w:bookmarkEnd w:id="24"/>
    </w:p>
    <w:p w14:paraId="695C99E0">
      <w:pPr>
        <w:pStyle w:val="16"/>
        <w:spacing w:line="360" w:lineRule="auto"/>
        <w:ind w:firstLine="560" w:firstLineChars="200"/>
        <w:rPr>
          <w:rFonts w:eastAsia="仿宋"/>
          <w:sz w:val="28"/>
          <w:szCs w:val="28"/>
        </w:rPr>
      </w:pPr>
      <w:r>
        <w:rPr>
          <w:rFonts w:hint="eastAsia" w:eastAsia="仿宋"/>
          <w:sz w:val="28"/>
          <w:szCs w:val="28"/>
        </w:rPr>
        <w:t>加强气象灾害预测、预报和预防工作，对村民进行气象灾害相关知识培训。主要居民区域所有建构筑单体，必须按防雷规范进行设计，设置安全的避雷装置。并采取必要的抗风措施。</w:t>
      </w:r>
    </w:p>
    <w:p w14:paraId="16C12EE8">
      <w:pPr>
        <w:pStyle w:val="3"/>
        <w:spacing w:before="0" w:after="0" w:line="360" w:lineRule="auto"/>
        <w:rPr>
          <w:rFonts w:ascii="黑体" w:hAnsi="黑体" w:eastAsia="黑体"/>
          <w:sz w:val="30"/>
          <w:szCs w:val="30"/>
        </w:rPr>
      </w:pPr>
      <w:bookmarkStart w:id="26" w:name="_Toc20080"/>
      <w:r>
        <w:rPr>
          <w:rFonts w:hint="eastAsia" w:ascii="黑体" w:hAnsi="黑体" w:eastAsia="黑体"/>
          <w:sz w:val="30"/>
          <w:szCs w:val="30"/>
        </w:rPr>
        <w:t>3、防洪</w:t>
      </w:r>
      <w:bookmarkEnd w:id="25"/>
      <w:bookmarkEnd w:id="26"/>
    </w:p>
    <w:p w14:paraId="54DC6D5A">
      <w:pPr>
        <w:ind w:firstLine="560" w:firstLineChars="200"/>
        <w:rPr>
          <w:rFonts w:eastAsia="仿宋"/>
          <w:color w:val="auto"/>
          <w:sz w:val="28"/>
          <w:szCs w:val="28"/>
        </w:rPr>
      </w:pPr>
      <w:r>
        <w:rPr>
          <w:rFonts w:hint="eastAsia" w:eastAsia="仿宋"/>
          <w:sz w:val="28"/>
          <w:szCs w:val="28"/>
        </w:rPr>
        <w:t>根据中华人民共和国国家标准《防洪标准》(GB50201--2014)和《重庆市河道管理范围内建设项目管理办法》规定，并给合《荣昌区濑溪河（昌州—万灵段）防洪及水环境治理工程堤顶环形抢险道路工程可行性研究报告》相关资料，建设项目范围内防洪标准按10年一遇标准确定。</w:t>
      </w:r>
      <w:r>
        <w:rPr>
          <w:rFonts w:hint="eastAsia" w:eastAsia="仿宋"/>
          <w:color w:val="auto"/>
          <w:sz w:val="28"/>
          <w:szCs w:val="28"/>
        </w:rPr>
        <w:t>荣昌区万灵镇沙堡村防洪应急指挥管理用房和防洪应急停车位建设项目满足10年一遇311.52米行洪防洪要求。</w:t>
      </w:r>
    </w:p>
    <w:p w14:paraId="2ED8E38D">
      <w:pPr>
        <w:pStyle w:val="3"/>
        <w:spacing w:before="0" w:after="0" w:line="360" w:lineRule="auto"/>
        <w:rPr>
          <w:rFonts w:ascii="黑体" w:hAnsi="黑体" w:eastAsia="黑体"/>
          <w:sz w:val="30"/>
          <w:szCs w:val="30"/>
        </w:rPr>
      </w:pPr>
      <w:bookmarkStart w:id="27" w:name="_Toc19633"/>
      <w:bookmarkStart w:id="28" w:name="_Toc7017"/>
      <w:r>
        <w:rPr>
          <w:rFonts w:hint="eastAsia" w:ascii="黑体" w:hAnsi="黑体" w:eastAsia="黑体"/>
          <w:sz w:val="30"/>
          <w:szCs w:val="30"/>
        </w:rPr>
        <w:t>4、防地质灾害</w:t>
      </w:r>
      <w:bookmarkEnd w:id="27"/>
      <w:bookmarkEnd w:id="28"/>
    </w:p>
    <w:p w14:paraId="4A0BC38B">
      <w:pPr>
        <w:pStyle w:val="16"/>
        <w:spacing w:line="360" w:lineRule="auto"/>
        <w:ind w:firstLine="560" w:firstLineChars="200"/>
        <w:rPr>
          <w:rFonts w:eastAsia="仿宋_GB2312"/>
          <w:color w:val="auto"/>
          <w:sz w:val="28"/>
          <w:szCs w:val="28"/>
        </w:rPr>
      </w:pPr>
      <w:r>
        <w:rPr>
          <w:rFonts w:hint="eastAsia" w:eastAsia="仿宋"/>
          <w:sz w:val="28"/>
          <w:szCs w:val="28"/>
        </w:rPr>
        <w:t>两项目所在地属低易发区。地质灾害防治应坚持预防为主，避让与治理相结合的原则。工程建设应结合地貌特点，避免“深开挖、高切坡、高填方”，加强生态环境保护工作和防洪工程建设，禁止破坏植被，防止水土流失。项目建设前须进行地质灾害评估和建设点的详细地质勘探，建设活动须以相应的地质勘探资料为依据，应进行地灾处理的项目必须在处理之后，按规定程序报批建设，避免在溶洞、危岩和易发生滑坡地段建设</w:t>
      </w:r>
      <w:r>
        <w:rPr>
          <w:rFonts w:hint="eastAsia" w:eastAsia="仿宋"/>
          <w:color w:val="auto"/>
          <w:sz w:val="28"/>
          <w:szCs w:val="28"/>
        </w:rPr>
        <w:t>。</w:t>
      </w:r>
    </w:p>
    <w:p w14:paraId="1251F060">
      <w:pPr>
        <w:pStyle w:val="3"/>
        <w:spacing w:before="0" w:after="0" w:line="360" w:lineRule="auto"/>
        <w:rPr>
          <w:rFonts w:ascii="黑体" w:hAnsi="黑体" w:eastAsia="黑体"/>
          <w:sz w:val="30"/>
          <w:szCs w:val="30"/>
        </w:rPr>
      </w:pPr>
      <w:bookmarkStart w:id="29" w:name="_Toc1092"/>
      <w:bookmarkStart w:id="30" w:name="_Toc31633"/>
      <w:r>
        <w:rPr>
          <w:rFonts w:hint="eastAsia" w:ascii="黑体" w:hAnsi="黑体" w:eastAsia="黑体"/>
          <w:sz w:val="30"/>
          <w:szCs w:val="30"/>
        </w:rPr>
        <w:t>5、消防</w:t>
      </w:r>
      <w:bookmarkEnd w:id="29"/>
      <w:bookmarkEnd w:id="30"/>
    </w:p>
    <w:p w14:paraId="48EE693A">
      <w:pPr>
        <w:pStyle w:val="16"/>
        <w:spacing w:line="360" w:lineRule="auto"/>
        <w:ind w:firstLine="560" w:firstLineChars="200"/>
        <w:rPr>
          <w:rFonts w:eastAsia="仿宋"/>
          <w:sz w:val="28"/>
          <w:szCs w:val="28"/>
        </w:rPr>
      </w:pPr>
      <w:r>
        <w:rPr>
          <w:rFonts w:hint="eastAsia" w:eastAsia="仿宋"/>
          <w:sz w:val="28"/>
          <w:szCs w:val="28"/>
        </w:rPr>
        <w:t>消防水源以村供水设施为主，堰塘、水池等地表水为辅。逐步建设现代化的火警报警设施，在现状密集的散居聚集点等公共活动密集区设置室外消防栓或消防水池</w:t>
      </w:r>
      <w:r>
        <w:rPr>
          <w:rFonts w:eastAsia="仿宋"/>
          <w:sz w:val="28"/>
          <w:szCs w:val="28"/>
        </w:rPr>
        <w:t>。</w:t>
      </w:r>
    </w:p>
    <w:p w14:paraId="37962751">
      <w:pPr>
        <w:pStyle w:val="3"/>
        <w:spacing w:before="0" w:after="0" w:line="360" w:lineRule="auto"/>
        <w:rPr>
          <w:rFonts w:ascii="黑体" w:hAnsi="黑体" w:eastAsia="黑体"/>
          <w:sz w:val="30"/>
          <w:szCs w:val="30"/>
        </w:rPr>
      </w:pPr>
      <w:bookmarkStart w:id="31" w:name="_Toc9291"/>
      <w:r>
        <w:rPr>
          <w:rFonts w:hint="eastAsia" w:ascii="黑体" w:hAnsi="黑体" w:eastAsia="黑体"/>
          <w:sz w:val="30"/>
          <w:szCs w:val="30"/>
        </w:rPr>
        <w:t>6、人防</w:t>
      </w:r>
      <w:bookmarkEnd w:id="31"/>
    </w:p>
    <w:p w14:paraId="4AD2BFB1">
      <w:pPr>
        <w:pStyle w:val="16"/>
        <w:spacing w:line="360" w:lineRule="auto"/>
        <w:ind w:firstLine="560" w:firstLineChars="200"/>
        <w:rPr>
          <w:rFonts w:eastAsia="仿宋"/>
          <w:sz w:val="28"/>
          <w:szCs w:val="28"/>
          <w:lang w:val="en-GB"/>
        </w:rPr>
      </w:pPr>
      <w:r>
        <w:rPr>
          <w:rFonts w:hint="eastAsia" w:eastAsia="仿宋"/>
          <w:sz w:val="28"/>
          <w:szCs w:val="28"/>
          <w:lang w:val="en-GB"/>
        </w:rPr>
        <w:t>按国家规定，结合绿地、广场等开敞空间及村委会等公共建筑作为紧急避难场所。</w:t>
      </w:r>
    </w:p>
    <w:p w14:paraId="7B37F57B">
      <w:pPr>
        <w:pStyle w:val="2"/>
        <w:jc w:val="center"/>
        <w:rPr>
          <w:rFonts w:eastAsia="黑体"/>
          <w:sz w:val="32"/>
        </w:rPr>
      </w:pPr>
      <w:bookmarkStart w:id="32" w:name="_Toc13114"/>
      <w:r>
        <w:rPr>
          <w:rFonts w:hint="eastAsia" w:eastAsia="黑体"/>
          <w:sz w:val="32"/>
        </w:rPr>
        <w:t>第六章 建筑风貌与地块控制指标</w:t>
      </w:r>
      <w:bookmarkEnd w:id="32"/>
    </w:p>
    <w:p w14:paraId="79ECE9C9">
      <w:pPr>
        <w:pStyle w:val="3"/>
        <w:spacing w:before="0" w:after="0" w:line="360" w:lineRule="auto"/>
        <w:rPr>
          <w:rFonts w:ascii="黑体" w:hAnsi="黑体" w:eastAsia="黑体"/>
          <w:sz w:val="30"/>
          <w:szCs w:val="30"/>
        </w:rPr>
      </w:pPr>
      <w:bookmarkStart w:id="33" w:name="_Toc32011"/>
      <w:r>
        <w:rPr>
          <w:rFonts w:hint="eastAsia" w:ascii="黑体" w:hAnsi="黑体" w:eastAsia="黑体"/>
          <w:sz w:val="30"/>
          <w:szCs w:val="30"/>
        </w:rPr>
        <w:t>1、建筑风貌</w:t>
      </w:r>
      <w:bookmarkEnd w:id="33"/>
    </w:p>
    <w:p w14:paraId="4D1503C0">
      <w:pPr>
        <w:pStyle w:val="16"/>
        <w:spacing w:line="360" w:lineRule="auto"/>
        <w:ind w:firstLine="560" w:firstLineChars="200"/>
        <w:rPr>
          <w:rFonts w:eastAsia="仿宋"/>
          <w:color w:val="auto"/>
          <w:sz w:val="28"/>
          <w:szCs w:val="28"/>
        </w:rPr>
      </w:pPr>
      <w:r>
        <w:rPr>
          <w:rFonts w:hint="eastAsia" w:eastAsia="仿宋"/>
          <w:color w:val="auto"/>
          <w:sz w:val="28"/>
          <w:szCs w:val="28"/>
        </w:rPr>
        <w:t>1.1建筑体量</w:t>
      </w:r>
    </w:p>
    <w:p w14:paraId="59D54CFF">
      <w:pPr>
        <w:pStyle w:val="16"/>
        <w:spacing w:line="360" w:lineRule="auto"/>
        <w:ind w:firstLine="560" w:firstLineChars="200"/>
        <w:rPr>
          <w:rFonts w:eastAsia="仿宋"/>
          <w:color w:val="auto"/>
          <w:sz w:val="28"/>
          <w:szCs w:val="28"/>
        </w:rPr>
      </w:pPr>
      <w:r>
        <w:rPr>
          <w:rFonts w:hint="eastAsia" w:eastAsia="仿宋"/>
          <w:color w:val="auto"/>
          <w:sz w:val="28"/>
          <w:szCs w:val="28"/>
        </w:rPr>
        <w:t>建筑层数原则上不超过3层，建筑高度原则上不超过12米。单体建筑应保持长宽高尺度的良好比例，不应修建体量庞大、横长矮胖、尺度夸张、造型奇特的建筑。</w:t>
      </w:r>
    </w:p>
    <w:p w14:paraId="1ED53F98">
      <w:pPr>
        <w:pStyle w:val="16"/>
        <w:spacing w:line="360" w:lineRule="auto"/>
        <w:ind w:firstLine="560" w:firstLineChars="200"/>
        <w:rPr>
          <w:rFonts w:eastAsia="仿宋"/>
          <w:color w:val="auto"/>
          <w:sz w:val="28"/>
          <w:szCs w:val="28"/>
        </w:rPr>
      </w:pPr>
      <w:r>
        <w:rPr>
          <w:rFonts w:hint="eastAsia" w:eastAsia="仿宋"/>
          <w:color w:val="auto"/>
          <w:sz w:val="28"/>
          <w:szCs w:val="28"/>
        </w:rPr>
        <w:t>1.2屋顶形态</w:t>
      </w:r>
    </w:p>
    <w:p w14:paraId="361B3C6A">
      <w:pPr>
        <w:pStyle w:val="16"/>
        <w:spacing w:line="360" w:lineRule="auto"/>
        <w:ind w:firstLine="560" w:firstLineChars="200"/>
        <w:rPr>
          <w:rFonts w:eastAsia="仿宋"/>
          <w:color w:val="auto"/>
          <w:sz w:val="28"/>
          <w:szCs w:val="28"/>
        </w:rPr>
      </w:pPr>
      <w:r>
        <w:rPr>
          <w:rFonts w:hint="eastAsia" w:eastAsia="仿宋"/>
          <w:color w:val="auto"/>
          <w:sz w:val="28"/>
          <w:szCs w:val="28"/>
        </w:rPr>
        <w:t>鼓励平坡结合；屋面材料以小青瓦、灰色平瓦或压型钢板为主。不得使用高饱和度的彩钢棚或彩钢瓦做顶部搭建。</w:t>
      </w:r>
    </w:p>
    <w:p w14:paraId="27442EC4">
      <w:pPr>
        <w:pStyle w:val="16"/>
        <w:spacing w:line="360" w:lineRule="auto"/>
        <w:ind w:firstLine="560" w:firstLineChars="200"/>
        <w:rPr>
          <w:rFonts w:eastAsia="仿宋"/>
          <w:color w:val="auto"/>
          <w:sz w:val="28"/>
          <w:szCs w:val="28"/>
        </w:rPr>
      </w:pPr>
      <w:r>
        <w:rPr>
          <w:rFonts w:hint="eastAsia" w:eastAsia="仿宋"/>
          <w:color w:val="auto"/>
          <w:sz w:val="28"/>
          <w:szCs w:val="28"/>
        </w:rPr>
        <w:t>1.3墙面</w:t>
      </w:r>
    </w:p>
    <w:p w14:paraId="6562F4A2">
      <w:pPr>
        <w:pStyle w:val="16"/>
        <w:spacing w:line="360" w:lineRule="auto"/>
        <w:ind w:firstLine="560" w:firstLineChars="200"/>
        <w:rPr>
          <w:rFonts w:eastAsia="仿宋"/>
          <w:color w:val="auto"/>
          <w:sz w:val="28"/>
          <w:szCs w:val="28"/>
        </w:rPr>
      </w:pPr>
      <w:r>
        <w:rPr>
          <w:rFonts w:hint="eastAsia" w:eastAsia="仿宋"/>
          <w:color w:val="auto"/>
          <w:sz w:val="28"/>
          <w:szCs w:val="28"/>
        </w:rPr>
        <w:t>建筑立面应提取、继承地方民居原有构筑方式所反映的尺度比例、屋顶形式、山墙特征、立面肌理、色彩搭配等要素，使之体现地域特色；建筑立面造型及色彩搭配应结合周边环境进行一体化设计，整体风貌与周边环境相互融合；不宜出现裸露的水泥墙面或瓷砖贴面；不得在墙面上粗糙作假地勾勒外墙漆线条，包括建筑结构装饰线、窗套、门套装饰线等；可选择木板墙或青砖墙，搭配石、砖、土等乡土材料。</w:t>
      </w:r>
    </w:p>
    <w:p w14:paraId="1C213AED">
      <w:pPr>
        <w:pStyle w:val="16"/>
        <w:spacing w:line="360" w:lineRule="auto"/>
        <w:ind w:firstLine="560" w:firstLineChars="200"/>
        <w:rPr>
          <w:rFonts w:eastAsia="仿宋"/>
          <w:color w:val="auto"/>
          <w:sz w:val="28"/>
          <w:szCs w:val="28"/>
        </w:rPr>
      </w:pPr>
      <w:r>
        <w:rPr>
          <w:rFonts w:hint="eastAsia" w:eastAsia="仿宋"/>
          <w:color w:val="auto"/>
          <w:sz w:val="28"/>
          <w:szCs w:val="28"/>
        </w:rPr>
        <w:t>门：门洞设计应考虑使用要求，并与建筑整体立面的比例、尺度协调。窗：在保证整体比例尺度协调的情冴下，造型符合巴渝建筑特征，根据不同使用功能，可考虑通窗、落地窗、竖条窗等。</w:t>
      </w:r>
    </w:p>
    <w:p w14:paraId="649B91E1">
      <w:pPr>
        <w:pStyle w:val="3"/>
        <w:spacing w:before="0" w:after="0" w:line="360" w:lineRule="auto"/>
        <w:rPr>
          <w:rFonts w:ascii="黑体" w:hAnsi="黑体" w:eastAsia="黑体"/>
          <w:sz w:val="30"/>
          <w:szCs w:val="30"/>
        </w:rPr>
      </w:pPr>
      <w:bookmarkStart w:id="34" w:name="_Toc17905"/>
      <w:r>
        <w:rPr>
          <w:rFonts w:hint="eastAsia" w:ascii="黑体" w:hAnsi="黑体" w:eastAsia="黑体"/>
          <w:sz w:val="30"/>
          <w:szCs w:val="30"/>
        </w:rPr>
        <w:t>2、地块控制指标</w:t>
      </w:r>
      <w:bookmarkEnd w:id="34"/>
    </w:p>
    <w:p w14:paraId="7549AD81">
      <w:pPr>
        <w:pStyle w:val="16"/>
        <w:spacing w:line="360" w:lineRule="auto"/>
        <w:ind w:firstLine="560" w:firstLineChars="200"/>
        <w:rPr>
          <w:rFonts w:eastAsia="仿宋"/>
          <w:sz w:val="28"/>
          <w:szCs w:val="28"/>
        </w:rPr>
      </w:pPr>
      <w:r>
        <w:rPr>
          <w:rFonts w:eastAsia="仿宋"/>
          <w:sz w:val="28"/>
          <w:szCs w:val="28"/>
        </w:rPr>
        <w:t>地块控制指标是土地管理的关键工具，指标包括用地性质、容积率、建筑</w:t>
      </w:r>
      <w:r>
        <w:rPr>
          <w:rFonts w:hint="eastAsia" w:eastAsia="仿宋"/>
          <w:sz w:val="28"/>
          <w:szCs w:val="28"/>
        </w:rPr>
        <w:t>层数</w:t>
      </w:r>
      <w:r>
        <w:rPr>
          <w:rFonts w:eastAsia="仿宋"/>
          <w:sz w:val="28"/>
          <w:szCs w:val="28"/>
        </w:rPr>
        <w:t>、</w:t>
      </w:r>
      <w:r>
        <w:rPr>
          <w:rFonts w:hint="eastAsia" w:eastAsia="仿宋"/>
          <w:sz w:val="28"/>
          <w:szCs w:val="28"/>
        </w:rPr>
        <w:t>建筑</w:t>
      </w:r>
      <w:r>
        <w:rPr>
          <w:rFonts w:eastAsia="仿宋"/>
          <w:sz w:val="28"/>
          <w:szCs w:val="28"/>
        </w:rPr>
        <w:t>高度等，是规范土地市场、保护土地资源的重要依据。</w:t>
      </w:r>
    </w:p>
    <w:p w14:paraId="36ECC267">
      <w:pPr>
        <w:pStyle w:val="16"/>
        <w:spacing w:line="360" w:lineRule="auto"/>
        <w:ind w:firstLine="560" w:firstLineChars="200"/>
        <w:rPr>
          <w:rFonts w:eastAsia="仿宋"/>
          <w:sz w:val="28"/>
          <w:szCs w:val="28"/>
        </w:rPr>
      </w:pPr>
      <w:r>
        <w:rPr>
          <w:rFonts w:eastAsia="仿宋"/>
          <w:sz w:val="28"/>
          <w:szCs w:val="28"/>
        </w:rPr>
        <w:t>本次项目式村规划依据《</w:t>
      </w:r>
      <w:r>
        <w:rPr>
          <w:rFonts w:hint="eastAsia" w:eastAsia="仿宋"/>
          <w:sz w:val="28"/>
          <w:szCs w:val="28"/>
        </w:rPr>
        <w:t>美丽重庆乡村风貌规划导则</w:t>
      </w:r>
      <w:r>
        <w:rPr>
          <w:rFonts w:eastAsia="仿宋"/>
          <w:sz w:val="28"/>
          <w:szCs w:val="28"/>
        </w:rPr>
        <w:t>》，确定建筑层数不超过</w:t>
      </w:r>
      <w:r>
        <w:rPr>
          <w:rFonts w:hint="eastAsia" w:eastAsia="仿宋"/>
          <w:sz w:val="28"/>
          <w:szCs w:val="28"/>
        </w:rPr>
        <w:t>3层，建筑高度原则上不超过12米，确需突破的，需专题论证，农村公共服务设施和产业项目的建筑高度可结合周边环境，在项目方案设计时进行专题研究合理确定。容积率</w:t>
      </w:r>
      <w:r>
        <w:rPr>
          <w:rFonts w:hint="eastAsia" w:eastAsia="仿宋"/>
          <w:sz w:val="28"/>
          <w:szCs w:val="28"/>
          <w:lang w:eastAsia="zh-CN"/>
        </w:rPr>
        <w:t>、</w:t>
      </w:r>
      <w:r>
        <w:rPr>
          <w:rFonts w:hint="eastAsia" w:eastAsia="仿宋"/>
          <w:sz w:val="28"/>
          <w:szCs w:val="28"/>
          <w:lang w:val="en-US" w:eastAsia="zh-CN"/>
        </w:rPr>
        <w:t>建筑密度和绿地率</w:t>
      </w:r>
      <w:r>
        <w:rPr>
          <w:rFonts w:hint="eastAsia" w:eastAsia="仿宋"/>
          <w:sz w:val="28"/>
          <w:szCs w:val="28"/>
        </w:rPr>
        <w:t>依据项目用地性质及</w:t>
      </w:r>
      <w:r>
        <w:rPr>
          <w:rFonts w:hint="eastAsia" w:eastAsia="仿宋"/>
          <w:sz w:val="28"/>
          <w:szCs w:val="28"/>
          <w:lang w:val="en-US" w:eastAsia="zh-CN"/>
        </w:rPr>
        <w:t>相关规范标准要求</w:t>
      </w:r>
      <w:r>
        <w:rPr>
          <w:rFonts w:hint="eastAsia" w:eastAsia="仿宋"/>
          <w:sz w:val="28"/>
          <w:szCs w:val="28"/>
        </w:rPr>
        <w:t>确定。详见下表：</w:t>
      </w:r>
    </w:p>
    <w:p w14:paraId="2983FC2D">
      <w:pPr>
        <w:pStyle w:val="16"/>
        <w:spacing w:line="360" w:lineRule="auto"/>
        <w:ind w:firstLine="560" w:firstLineChars="200"/>
        <w:jc w:val="center"/>
        <w:rPr>
          <w:rFonts w:eastAsia="仿宋"/>
          <w:sz w:val="28"/>
          <w:szCs w:val="28"/>
        </w:rPr>
      </w:pPr>
      <w:r>
        <w:rPr>
          <w:rFonts w:eastAsia="仿宋"/>
          <w:sz w:val="28"/>
          <w:szCs w:val="28"/>
        </w:rPr>
        <w:t>表</w:t>
      </w:r>
      <w:r>
        <w:rPr>
          <w:rFonts w:hint="eastAsia" w:eastAsia="仿宋"/>
          <w:sz w:val="28"/>
          <w:szCs w:val="28"/>
        </w:rPr>
        <w:t>6-1 地块控制指标表</w:t>
      </w:r>
    </w:p>
    <w:tbl>
      <w:tblPr>
        <w:tblStyle w:val="13"/>
        <w:tblW w:w="4997" w:type="pct"/>
        <w:tblInd w:w="0" w:type="dxa"/>
        <w:tblLayout w:type="fixed"/>
        <w:tblCellMar>
          <w:top w:w="0" w:type="dxa"/>
          <w:left w:w="108" w:type="dxa"/>
          <w:bottom w:w="0" w:type="dxa"/>
          <w:right w:w="108" w:type="dxa"/>
        </w:tblCellMar>
      </w:tblPr>
      <w:tblGrid>
        <w:gridCol w:w="1099"/>
        <w:gridCol w:w="1069"/>
        <w:gridCol w:w="1115"/>
        <w:gridCol w:w="878"/>
        <w:gridCol w:w="837"/>
        <w:gridCol w:w="967"/>
        <w:gridCol w:w="1289"/>
        <w:gridCol w:w="1263"/>
      </w:tblGrid>
      <w:tr w14:paraId="4DE14617">
        <w:tblPrEx>
          <w:tblCellMar>
            <w:top w:w="0" w:type="dxa"/>
            <w:left w:w="108" w:type="dxa"/>
            <w:bottom w:w="0" w:type="dxa"/>
            <w:right w:w="108" w:type="dxa"/>
          </w:tblCellMar>
        </w:tblPrEx>
        <w:trPr>
          <w:trHeight w:val="33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6C6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地块编号</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0A7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用地性质</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C28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用地面积（公顷）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7A6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容积率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3B3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建筑层数（层）</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87B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建筑高度（米）</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AA9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建筑风貌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409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备注</w:t>
            </w:r>
          </w:p>
        </w:tc>
      </w:tr>
      <w:tr w14:paraId="67A7D4B5">
        <w:tblPrEx>
          <w:tblCellMar>
            <w:top w:w="0" w:type="dxa"/>
            <w:left w:w="108" w:type="dxa"/>
            <w:bottom w:w="0" w:type="dxa"/>
            <w:right w:w="108" w:type="dxa"/>
          </w:tblCellMar>
        </w:tblPrEx>
        <w:trPr>
          <w:trHeight w:val="66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B41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SBC-01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C82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其他公用设施用地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AA2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0.0543 </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71D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5C4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139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F92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与村内整体风貌相协调</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179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管理用房1</w:t>
            </w:r>
          </w:p>
        </w:tc>
      </w:tr>
      <w:tr w14:paraId="5B5023A1">
        <w:tblPrEx>
          <w:tblCellMar>
            <w:top w:w="0" w:type="dxa"/>
            <w:left w:w="108" w:type="dxa"/>
            <w:bottom w:w="0" w:type="dxa"/>
            <w:right w:w="108" w:type="dxa"/>
          </w:tblCellMar>
        </w:tblPrEx>
        <w:trPr>
          <w:trHeight w:val="33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0D5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SBC-02</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DAB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社会停车场用地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636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0.0094 </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99A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B5C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BF3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A3B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899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应急停车场1</w:t>
            </w:r>
          </w:p>
        </w:tc>
      </w:tr>
      <w:tr w14:paraId="0396235F">
        <w:tblPrEx>
          <w:tblCellMar>
            <w:top w:w="0" w:type="dxa"/>
            <w:left w:w="108" w:type="dxa"/>
            <w:bottom w:w="0" w:type="dxa"/>
            <w:right w:w="108" w:type="dxa"/>
          </w:tblCellMar>
        </w:tblPrEx>
        <w:trPr>
          <w:trHeight w:val="66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974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SBC-03</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6D6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其他公用设施用地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2D5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0.0417 </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E76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24A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8A0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F32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与村内整体风貌相协调</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40E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管理用房2</w:t>
            </w:r>
          </w:p>
        </w:tc>
      </w:tr>
      <w:tr w14:paraId="69627CAA">
        <w:tblPrEx>
          <w:tblCellMar>
            <w:top w:w="0" w:type="dxa"/>
            <w:left w:w="108" w:type="dxa"/>
            <w:bottom w:w="0" w:type="dxa"/>
            <w:right w:w="108" w:type="dxa"/>
          </w:tblCellMar>
        </w:tblPrEx>
        <w:trPr>
          <w:trHeight w:val="33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D8E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SBC-04</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7F6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社会停车场用地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5A9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0.0160 </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DA0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080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277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F07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7A3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应急停车场2</w:t>
            </w:r>
          </w:p>
        </w:tc>
      </w:tr>
    </w:tbl>
    <w:p w14:paraId="121C609D"/>
    <w:p w14:paraId="4B7317C2">
      <w:pPr>
        <w:jc w:val="center"/>
      </w:pPr>
    </w:p>
    <w:p w14:paraId="3D033E04"/>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C13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690989"/>
    </w:sdtPr>
    <w:sdtContent>
      <w:p w14:paraId="478E2D71">
        <w:pPr>
          <w:pStyle w:val="7"/>
          <w:jc w:val="center"/>
        </w:pPr>
        <w:r>
          <w:fldChar w:fldCharType="begin"/>
        </w:r>
        <w:r>
          <w:instrText xml:space="preserve">PAGE   \* MERGEFORMAT</w:instrText>
        </w:r>
        <w:r>
          <w:fldChar w:fldCharType="separate"/>
        </w:r>
        <w:r>
          <w:rPr>
            <w:lang w:val="zh-CN"/>
          </w:rPr>
          <w:t>24</w:t>
        </w:r>
        <w:r>
          <w:fldChar w:fldCharType="end"/>
        </w:r>
      </w:p>
    </w:sdtContent>
  </w:sdt>
  <w:p w14:paraId="73A97A0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423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E64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TA3MjIwZmI4OGUxM2NiZTMyY2U2NGUzOGUwMzMifQ=="/>
  </w:docVars>
  <w:rsids>
    <w:rsidRoot w:val="14AE56FF"/>
    <w:rsid w:val="00141794"/>
    <w:rsid w:val="001755E2"/>
    <w:rsid w:val="00186B02"/>
    <w:rsid w:val="001D607E"/>
    <w:rsid w:val="00214E90"/>
    <w:rsid w:val="002625EC"/>
    <w:rsid w:val="00263174"/>
    <w:rsid w:val="002740CF"/>
    <w:rsid w:val="003370E5"/>
    <w:rsid w:val="0036519D"/>
    <w:rsid w:val="003E362D"/>
    <w:rsid w:val="00406CB9"/>
    <w:rsid w:val="00421881"/>
    <w:rsid w:val="00472BB5"/>
    <w:rsid w:val="004D29FF"/>
    <w:rsid w:val="004E72E1"/>
    <w:rsid w:val="005362B8"/>
    <w:rsid w:val="005503AE"/>
    <w:rsid w:val="0055597C"/>
    <w:rsid w:val="005903C4"/>
    <w:rsid w:val="005F7396"/>
    <w:rsid w:val="0066644D"/>
    <w:rsid w:val="00671005"/>
    <w:rsid w:val="00683128"/>
    <w:rsid w:val="006D426C"/>
    <w:rsid w:val="00713DB7"/>
    <w:rsid w:val="007B3DCB"/>
    <w:rsid w:val="007E4DDF"/>
    <w:rsid w:val="00805329"/>
    <w:rsid w:val="00806E92"/>
    <w:rsid w:val="0085358F"/>
    <w:rsid w:val="008719E6"/>
    <w:rsid w:val="00875C1C"/>
    <w:rsid w:val="00890476"/>
    <w:rsid w:val="0089120D"/>
    <w:rsid w:val="008F515F"/>
    <w:rsid w:val="00912DAE"/>
    <w:rsid w:val="00946861"/>
    <w:rsid w:val="009B4784"/>
    <w:rsid w:val="009C7D30"/>
    <w:rsid w:val="00A36502"/>
    <w:rsid w:val="00AA090D"/>
    <w:rsid w:val="00AD0B93"/>
    <w:rsid w:val="00B25C08"/>
    <w:rsid w:val="00B307C3"/>
    <w:rsid w:val="00BE220E"/>
    <w:rsid w:val="00C46EA0"/>
    <w:rsid w:val="00C84873"/>
    <w:rsid w:val="00D35930"/>
    <w:rsid w:val="00DB4E30"/>
    <w:rsid w:val="00E36C67"/>
    <w:rsid w:val="00E557A5"/>
    <w:rsid w:val="00EC51AF"/>
    <w:rsid w:val="00EC59B1"/>
    <w:rsid w:val="00EE2D47"/>
    <w:rsid w:val="00F06DFE"/>
    <w:rsid w:val="00F127C6"/>
    <w:rsid w:val="00FF3E73"/>
    <w:rsid w:val="02094A42"/>
    <w:rsid w:val="022278B2"/>
    <w:rsid w:val="032625C0"/>
    <w:rsid w:val="03283C6F"/>
    <w:rsid w:val="04B33B15"/>
    <w:rsid w:val="04F03CAF"/>
    <w:rsid w:val="060D6EAC"/>
    <w:rsid w:val="086F2CCF"/>
    <w:rsid w:val="09077801"/>
    <w:rsid w:val="0C136600"/>
    <w:rsid w:val="0DBE04EA"/>
    <w:rsid w:val="10584436"/>
    <w:rsid w:val="112862CE"/>
    <w:rsid w:val="12DB1112"/>
    <w:rsid w:val="130C6AC5"/>
    <w:rsid w:val="133C4E14"/>
    <w:rsid w:val="137914A4"/>
    <w:rsid w:val="13FC2BBA"/>
    <w:rsid w:val="145E2120"/>
    <w:rsid w:val="148E5193"/>
    <w:rsid w:val="14AE56FF"/>
    <w:rsid w:val="156E526E"/>
    <w:rsid w:val="15E213DA"/>
    <w:rsid w:val="163D661E"/>
    <w:rsid w:val="191850F8"/>
    <w:rsid w:val="19BB43CC"/>
    <w:rsid w:val="1F707D5C"/>
    <w:rsid w:val="1FB8489F"/>
    <w:rsid w:val="215E6BC9"/>
    <w:rsid w:val="23445482"/>
    <w:rsid w:val="23831D8B"/>
    <w:rsid w:val="25305A42"/>
    <w:rsid w:val="2670658E"/>
    <w:rsid w:val="27B023ED"/>
    <w:rsid w:val="28304227"/>
    <w:rsid w:val="292A36CE"/>
    <w:rsid w:val="293F4938"/>
    <w:rsid w:val="295A68E2"/>
    <w:rsid w:val="29E95A0B"/>
    <w:rsid w:val="2A564F1C"/>
    <w:rsid w:val="2B26622F"/>
    <w:rsid w:val="2BE76691"/>
    <w:rsid w:val="2C830B34"/>
    <w:rsid w:val="2D102054"/>
    <w:rsid w:val="2FC41E14"/>
    <w:rsid w:val="327E4842"/>
    <w:rsid w:val="329A6E6D"/>
    <w:rsid w:val="32D012AA"/>
    <w:rsid w:val="33982F6B"/>
    <w:rsid w:val="35EB79DF"/>
    <w:rsid w:val="35F71657"/>
    <w:rsid w:val="36062A6B"/>
    <w:rsid w:val="36195880"/>
    <w:rsid w:val="378E6A77"/>
    <w:rsid w:val="3D0938CC"/>
    <w:rsid w:val="3F2C3542"/>
    <w:rsid w:val="418F0C0B"/>
    <w:rsid w:val="44A67954"/>
    <w:rsid w:val="47635A64"/>
    <w:rsid w:val="48777F22"/>
    <w:rsid w:val="49431BB4"/>
    <w:rsid w:val="495C522A"/>
    <w:rsid w:val="4A8C1339"/>
    <w:rsid w:val="4CA96E23"/>
    <w:rsid w:val="4CBC1F53"/>
    <w:rsid w:val="4FC74BC1"/>
    <w:rsid w:val="504A5915"/>
    <w:rsid w:val="51055D87"/>
    <w:rsid w:val="517F39A6"/>
    <w:rsid w:val="563D3E2F"/>
    <w:rsid w:val="566B2B8C"/>
    <w:rsid w:val="58C16652"/>
    <w:rsid w:val="59B47C9D"/>
    <w:rsid w:val="59F942BA"/>
    <w:rsid w:val="5C5E3C10"/>
    <w:rsid w:val="5CAF349F"/>
    <w:rsid w:val="5CD56B55"/>
    <w:rsid w:val="5CD945FC"/>
    <w:rsid w:val="5F520B89"/>
    <w:rsid w:val="5FB263B7"/>
    <w:rsid w:val="613852C8"/>
    <w:rsid w:val="63C52E43"/>
    <w:rsid w:val="644D3C9F"/>
    <w:rsid w:val="64EA6F30"/>
    <w:rsid w:val="66CD2666"/>
    <w:rsid w:val="674221B8"/>
    <w:rsid w:val="67DA367A"/>
    <w:rsid w:val="694D0AD2"/>
    <w:rsid w:val="6C8E2897"/>
    <w:rsid w:val="6D942EEA"/>
    <w:rsid w:val="6D9C6DD7"/>
    <w:rsid w:val="6DCC18C9"/>
    <w:rsid w:val="73637EC1"/>
    <w:rsid w:val="744A1E5B"/>
    <w:rsid w:val="764A4CA9"/>
    <w:rsid w:val="76A0711F"/>
    <w:rsid w:val="76D96E05"/>
    <w:rsid w:val="78594C71"/>
    <w:rsid w:val="79F5251F"/>
    <w:rsid w:val="7ADD201A"/>
    <w:rsid w:val="7CFE75C5"/>
    <w:rsid w:val="7D16490F"/>
    <w:rsid w:val="7EA00070"/>
    <w:rsid w:val="7FDB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Indent"/>
    <w:basedOn w:val="1"/>
    <w:qFormat/>
    <w:uiPriority w:val="0"/>
    <w:pPr>
      <w:spacing w:after="120"/>
      <w:ind w:left="420" w:leftChars="200"/>
    </w:pPr>
  </w:style>
  <w:style w:type="paragraph" w:styleId="6">
    <w:name w:val="Balloon Text"/>
    <w:basedOn w:val="1"/>
    <w:link w:val="19"/>
    <w:qFormat/>
    <w:uiPriority w:val="0"/>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style>
  <w:style w:type="paragraph" w:styleId="10">
    <w:name w:val="toc 2"/>
    <w:basedOn w:val="1"/>
    <w:next w:val="1"/>
    <w:autoRedefine/>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next w:val="1"/>
    <w:qFormat/>
    <w:uiPriority w:val="0"/>
    <w:pPr>
      <w:tabs>
        <w:tab w:val="left" w:pos="6663"/>
      </w:tabs>
      <w:spacing w:after="0"/>
      <w:ind w:left="200" w:firstLine="536"/>
      <w:jc w:val="center"/>
    </w:pPr>
    <w:rPr>
      <w:rFonts w:ascii="Times New Roman" w:hAnsi="Times New Roman"/>
      <w:spacing w:val="14"/>
      <w:szCs w:val="24"/>
    </w:rPr>
  </w:style>
  <w:style w:type="character" w:styleId="15">
    <w:name w:val="Hyperlink"/>
    <w:basedOn w:val="14"/>
    <w:unhideWhenUsed/>
    <w:qFormat/>
    <w:uiPriority w:val="99"/>
    <w:rPr>
      <w:color w:val="0026E5" w:themeColor="hyperlink"/>
      <w:u w:val="single"/>
      <w14:textFill>
        <w14:solidFill>
          <w14:schemeClr w14:val="hlink"/>
        </w14:solidFill>
      </w14:textFill>
    </w:rPr>
  </w:style>
  <w:style w:type="paragraph" w:customStyle="1" w:styleId="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页脚 Char"/>
    <w:basedOn w:val="14"/>
    <w:link w:val="7"/>
    <w:qFormat/>
    <w:uiPriority w:val="99"/>
    <w:rPr>
      <w:rFonts w:asciiTheme="minorHAnsi" w:hAnsiTheme="minorHAnsi" w:eastAsiaTheme="minorEastAsia" w:cstheme="minorBidi"/>
      <w:kern w:val="2"/>
      <w:sz w:val="18"/>
      <w:szCs w:val="18"/>
    </w:rPr>
  </w:style>
  <w:style w:type="paragraph" w:customStyle="1" w:styleId="1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character" w:customStyle="1" w:styleId="19">
    <w:name w:val="批注框文本 Char"/>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3583</Words>
  <Characters>3836</Characters>
  <Lines>55</Lines>
  <Paragraphs>15</Paragraphs>
  <TotalTime>1</TotalTime>
  <ScaleCrop>false</ScaleCrop>
  <LinksUpToDate>false</LinksUpToDate>
  <CharactersWithSpaces>4108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2024-11-15T02:03:00Z</dcterms:created>
  <dc:creator>д</dc:creator>
  <cp:lastModifiedBy>1</cp:lastModifiedBy>
  <dcterms:modified xsi:type="dcterms:W3CDTF">2024-12-13T07:14:24Z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630F1EE49C644537A35FC753330D96AC_13</vt:lpwstr>
  </property>
</Properties>
</file>