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C285D">
      <w:pPr>
        <w:jc w:val="center"/>
        <w:rPr>
          <w:rFonts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pPr>
      <w:r>
        <w:rPr>
          <w:rFonts w:hint="eastAsia"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南川区大有镇大一村建筑石料用灰岩矿</w:t>
      </w:r>
      <w:r>
        <w:rPr>
          <w:rFonts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采矿权拍卖出让公告</w:t>
      </w:r>
    </w:p>
    <w:p w14:paraId="41D3E41F">
      <w:pPr>
        <w:jc w:val="cente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pP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渝矿采出字〔202</w:t>
      </w:r>
      <w:r>
        <w:rPr>
          <w:rFonts w:hint="eastAsia"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t>5</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w:t>
      </w:r>
      <w:r>
        <w:rPr>
          <w:rFonts w:hint="eastAsia" w:ascii="Times New Roman" w:hAnsi="Times New Roman" w:eastAsia="黑体" w:cs="Times New Roman"/>
          <w:bCs/>
          <w:color w:val="262626" w:themeColor="text1" w:themeTint="D9"/>
          <w:sz w:val="30"/>
          <w:szCs w:val="30"/>
          <w:lang w:eastAsia="zh-CN"/>
          <w14:textFill>
            <w14:solidFill>
              <w14:schemeClr w14:val="tx1">
                <w14:lumMod w14:val="85000"/>
                <w14:lumOff w14:val="15000"/>
              </w14:schemeClr>
            </w14:solidFill>
          </w14:textFill>
        </w:rPr>
        <w:t>南川</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w:t>
      </w:r>
      <w:r>
        <w:rPr>
          <w:rFonts w:hint="default" w:ascii="Times New Roman" w:hAnsi="Times New Roman" w:eastAsia="黑体" w:cs="Times New Roman"/>
          <w:bCs/>
          <w:color w:val="262626" w:themeColor="text1" w:themeTint="D9"/>
          <w:sz w:val="30"/>
          <w:szCs w:val="30"/>
          <w:lang w:val="en-US"/>
          <w14:textFill>
            <w14:solidFill>
              <w14:schemeClr w14:val="tx1">
                <w14:lumMod w14:val="85000"/>
                <w14:lumOff w14:val="15000"/>
              </w14:schemeClr>
            </w14:solidFill>
          </w14:textFill>
        </w:rPr>
        <w:t>2</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号</w:t>
      </w:r>
    </w:p>
    <w:p w14:paraId="6BE5504E">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根据国家和重庆市的相关规定，重庆市</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南川区</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规划和自然资源局决定公开拍卖出让以下采矿权，并委托重庆市公共资源交易中心负责公开出让交易环节的组织实施。现将有关事项公告如下：</w:t>
      </w:r>
    </w:p>
    <w:p w14:paraId="7956932B">
      <w:pPr>
        <w:spacing w:line="400" w:lineRule="exact"/>
        <w:ind w:firstLine="440" w:firstLineChars="200"/>
        <w:rPr>
          <w:rFonts w:ascii="Times New Roman" w:hAnsi="Times New Roman" w:cs="Times New Roman"/>
          <w:b/>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本次公开出让的采矿权采用网上交易方式。本次公告同步发布的网站：中华人民共和国自然资源部</w:t>
      </w:r>
      <w:r>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t>（https://www.mnr.gov.cn/）</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、重庆市规划和自然资源局网站</w:t>
      </w:r>
      <w:r>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t>（http://ghzrzyj.cq.gov.cn）</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、重庆市公共资源交易中心网站</w:t>
      </w:r>
      <w:r>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t>（https://www.cqggzy.com/）</w:t>
      </w:r>
      <w:r>
        <w:rPr>
          <w:rFonts w:hint="eastAsia" w:ascii="Times New Roman" w:hAnsi="Times New Roman" w:cs="Times New Roman"/>
          <w:i/>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iCs/>
          <w:color w:val="262626" w:themeColor="text1" w:themeTint="D9"/>
          <w:sz w:val="22"/>
          <w:u w:val="none"/>
          <w14:textFill>
            <w14:solidFill>
              <w14:schemeClr w14:val="tx1">
                <w14:lumMod w14:val="85000"/>
                <w14:lumOff w14:val="15000"/>
              </w14:schemeClr>
            </w14:solidFill>
          </w14:textFill>
        </w:rPr>
        <w:t>重庆市</w:t>
      </w:r>
      <w:r>
        <w:rPr>
          <w:rFonts w:hint="eastAsia" w:ascii="Times New Roman" w:hAnsi="Times New Roman" w:cs="Times New Roman"/>
          <w:iCs/>
          <w:color w:val="262626" w:themeColor="text1" w:themeTint="D9"/>
          <w:sz w:val="22"/>
          <w:u w:val="none"/>
          <w:lang w:val="en-US" w:eastAsia="zh-CN"/>
          <w14:textFill>
            <w14:solidFill>
              <w14:schemeClr w14:val="tx1">
                <w14:lumMod w14:val="85000"/>
                <w14:lumOff w14:val="15000"/>
              </w14:schemeClr>
            </w14:solidFill>
          </w14:textFill>
        </w:rPr>
        <w:t>南川区</w:t>
      </w:r>
      <w:r>
        <w:rPr>
          <w:rFonts w:hint="eastAsia" w:ascii="Times New Roman" w:hAnsi="Times New Roman" w:cs="Times New Roman"/>
          <w:iCs/>
          <w:color w:val="262626" w:themeColor="text1" w:themeTint="D9"/>
          <w:sz w:val="22"/>
          <w:u w:val="none"/>
          <w14:textFill>
            <w14:solidFill>
              <w14:schemeClr w14:val="tx1">
                <w14:lumMod w14:val="85000"/>
                <w14:lumOff w14:val="15000"/>
              </w14:schemeClr>
            </w14:solidFill>
          </w14:textFill>
        </w:rPr>
        <w:t>人民政府网站</w:t>
      </w:r>
      <w:r>
        <w:rPr>
          <w:rFonts w:hint="eastAsia" w:ascii="Times New Roman" w:hAnsi="Times New Roman" w:cs="Times New Roman"/>
          <w:i/>
          <w:color w:val="262626" w:themeColor="text1" w:themeTint="D9"/>
          <w:sz w:val="22"/>
          <w:u w:val="none"/>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http://www.cqnc.gov.cn/</w:t>
      </w:r>
      <w:r>
        <w:rPr>
          <w:rFonts w:hint="eastAsia" w:ascii="Times New Roman" w:hAnsi="Times New Roman" w:cs="Times New Roman"/>
          <w:i/>
          <w:color w:val="262626" w:themeColor="text1" w:themeTint="D9"/>
          <w:sz w:val="22"/>
          <w:u w:val="none"/>
          <w14:textFill>
            <w14:solidFill>
              <w14:schemeClr w14:val="tx1">
                <w14:lumMod w14:val="85000"/>
                <w14:lumOff w14:val="15000"/>
              </w14:schemeClr>
            </w14:solidFill>
          </w14:textFill>
        </w:rPr>
        <w:t>）。</w:t>
      </w:r>
    </w:p>
    <w:p w14:paraId="089F3F7A">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一、基本情况</w:t>
      </w:r>
    </w:p>
    <w:tbl>
      <w:tblPr>
        <w:tblStyle w:val="6"/>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14:paraId="628DA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14:paraId="54DF0723">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序号</w:t>
            </w:r>
          </w:p>
        </w:tc>
        <w:tc>
          <w:tcPr>
            <w:tcW w:w="1510" w:type="dxa"/>
            <w:vAlign w:val="center"/>
          </w:tcPr>
          <w:p w14:paraId="3CA3F594">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采矿权名称</w:t>
            </w:r>
          </w:p>
          <w:p w14:paraId="5C2B9F89">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（暂定名）</w:t>
            </w:r>
          </w:p>
        </w:tc>
        <w:tc>
          <w:tcPr>
            <w:tcW w:w="1103" w:type="dxa"/>
            <w:vAlign w:val="center"/>
          </w:tcPr>
          <w:p w14:paraId="00B7B194">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地理位置</w:t>
            </w:r>
          </w:p>
        </w:tc>
        <w:tc>
          <w:tcPr>
            <w:tcW w:w="1080" w:type="dxa"/>
            <w:vAlign w:val="center"/>
          </w:tcPr>
          <w:p w14:paraId="170B5B01">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矿种</w:t>
            </w:r>
          </w:p>
        </w:tc>
        <w:tc>
          <w:tcPr>
            <w:tcW w:w="1490" w:type="dxa"/>
            <w:vAlign w:val="center"/>
          </w:tcPr>
          <w:p w14:paraId="3F02AF0D">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矿区范围</w:t>
            </w:r>
          </w:p>
          <w:p w14:paraId="0F60918C">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拐点坐标</w:t>
            </w:r>
          </w:p>
        </w:tc>
        <w:tc>
          <w:tcPr>
            <w:tcW w:w="1146" w:type="dxa"/>
            <w:vAlign w:val="center"/>
          </w:tcPr>
          <w:p w14:paraId="0C071156">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资源储量</w:t>
            </w:r>
          </w:p>
        </w:tc>
        <w:tc>
          <w:tcPr>
            <w:tcW w:w="1223" w:type="dxa"/>
            <w:vAlign w:val="center"/>
          </w:tcPr>
          <w:p w14:paraId="7E833536">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矿区面积</w:t>
            </w:r>
          </w:p>
          <w:p w14:paraId="5FAD4DC3">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(平方公里)</w:t>
            </w:r>
          </w:p>
        </w:tc>
        <w:tc>
          <w:tcPr>
            <w:tcW w:w="1045" w:type="dxa"/>
            <w:vAlign w:val="center"/>
          </w:tcPr>
          <w:p w14:paraId="20637A9A">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开采</w:t>
            </w:r>
          </w:p>
          <w:p w14:paraId="29A16AD0">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标高</w:t>
            </w:r>
          </w:p>
        </w:tc>
        <w:tc>
          <w:tcPr>
            <w:tcW w:w="1061" w:type="dxa"/>
            <w:vAlign w:val="center"/>
          </w:tcPr>
          <w:p w14:paraId="7953816C">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拟</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建设</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生产规模</w:t>
            </w:r>
          </w:p>
        </w:tc>
        <w:tc>
          <w:tcPr>
            <w:tcW w:w="851" w:type="dxa"/>
            <w:vAlign w:val="center"/>
          </w:tcPr>
          <w:p w14:paraId="7EFFBD2D">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出让年限(年)</w:t>
            </w:r>
          </w:p>
        </w:tc>
        <w:tc>
          <w:tcPr>
            <w:tcW w:w="1134" w:type="dxa"/>
            <w:vAlign w:val="center"/>
          </w:tcPr>
          <w:p w14:paraId="67550D82">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出让收益起始价</w:t>
            </w:r>
          </w:p>
          <w:p w14:paraId="14452378">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c>
          <w:tcPr>
            <w:tcW w:w="923" w:type="dxa"/>
            <w:vAlign w:val="center"/>
          </w:tcPr>
          <w:p w14:paraId="48C95145">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保证金金额</w:t>
            </w:r>
          </w:p>
          <w:p w14:paraId="6E8F494D">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r>
      <w:tr w14:paraId="19E93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14:paraId="7838190F">
            <w:pPr>
              <w:spacing w:line="280" w:lineRule="exact"/>
              <w:jc w:val="center"/>
              <w:rPr>
                <w:rFonts w:hint="eastAsia" w:asciiTheme="minorEastAsia" w:hAnsiTheme="minorEastAsia" w:eastAsiaTheme="minorEastAsia" w:cstheme="minorEastAsia"/>
                <w:bCs/>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NCGC202502</w:t>
            </w:r>
          </w:p>
        </w:tc>
        <w:tc>
          <w:tcPr>
            <w:tcW w:w="1510" w:type="dxa"/>
            <w:vAlign w:val="center"/>
          </w:tcPr>
          <w:p w14:paraId="4B8C02D7">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南川区大有镇大一村建筑石料用灰岩矿</w:t>
            </w:r>
          </w:p>
        </w:tc>
        <w:tc>
          <w:tcPr>
            <w:tcW w:w="1103" w:type="dxa"/>
            <w:vAlign w:val="center"/>
          </w:tcPr>
          <w:p w14:paraId="161A3403">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bCs/>
                <w:sz w:val="22"/>
                <w:szCs w:val="22"/>
              </w:rPr>
              <w:t>重庆市南川区大有镇大一社区居民委员会第四居民小组</w:t>
            </w:r>
          </w:p>
        </w:tc>
        <w:tc>
          <w:tcPr>
            <w:tcW w:w="1080" w:type="dxa"/>
            <w:vAlign w:val="center"/>
          </w:tcPr>
          <w:p w14:paraId="37D9E9DF">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bCs/>
                <w:sz w:val="22"/>
                <w:szCs w:val="22"/>
              </w:rPr>
              <w:t>建筑石料用灰岩</w:t>
            </w:r>
          </w:p>
        </w:tc>
        <w:tc>
          <w:tcPr>
            <w:tcW w:w="1490" w:type="dxa"/>
            <w:vAlign w:val="center"/>
          </w:tcPr>
          <w:p w14:paraId="41F29DB9">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详见</w:t>
            </w:r>
          </w:p>
          <w:p w14:paraId="3F25B963">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《出让文件》</w:t>
            </w:r>
          </w:p>
        </w:tc>
        <w:tc>
          <w:tcPr>
            <w:tcW w:w="1146" w:type="dxa"/>
            <w:vAlign w:val="center"/>
          </w:tcPr>
          <w:p w14:paraId="144D6B16">
            <w:pPr>
              <w:spacing w:line="280" w:lineRule="exact"/>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771.3万吨</w:t>
            </w:r>
          </w:p>
        </w:tc>
        <w:tc>
          <w:tcPr>
            <w:tcW w:w="1223" w:type="dxa"/>
            <w:vAlign w:val="center"/>
          </w:tcPr>
          <w:p w14:paraId="29895365">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0.0764</w:t>
            </w:r>
          </w:p>
        </w:tc>
        <w:tc>
          <w:tcPr>
            <w:tcW w:w="1045" w:type="dxa"/>
            <w:vAlign w:val="center"/>
          </w:tcPr>
          <w:p w14:paraId="138133B2">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+936米至+860米</w:t>
            </w:r>
          </w:p>
        </w:tc>
        <w:tc>
          <w:tcPr>
            <w:tcW w:w="1061" w:type="dxa"/>
            <w:vAlign w:val="center"/>
          </w:tcPr>
          <w:p w14:paraId="18BB70CE">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100万吨/年</w:t>
            </w:r>
          </w:p>
        </w:tc>
        <w:tc>
          <w:tcPr>
            <w:tcW w:w="851" w:type="dxa"/>
            <w:vAlign w:val="center"/>
          </w:tcPr>
          <w:p w14:paraId="747DB51A">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6.6</w:t>
            </w:r>
          </w:p>
        </w:tc>
        <w:tc>
          <w:tcPr>
            <w:tcW w:w="1134" w:type="dxa"/>
            <w:vAlign w:val="center"/>
          </w:tcPr>
          <w:p w14:paraId="30274968">
            <w:pPr>
              <w:spacing w:line="260" w:lineRule="exact"/>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2792.11</w:t>
            </w:r>
          </w:p>
        </w:tc>
        <w:tc>
          <w:tcPr>
            <w:tcW w:w="923" w:type="dxa"/>
            <w:vAlign w:val="center"/>
          </w:tcPr>
          <w:p w14:paraId="34BD1F63">
            <w:pPr>
              <w:jc w:val="cente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pPr>
            <w:r>
              <w:rPr>
                <w:rFonts w:hint="eastAsia" w:asciiTheme="minorEastAsia" w:hAnsiTheme="minorEastAsia" w:eastAsiaTheme="minorEastAsia" w:cstheme="minorEastAsia"/>
                <w:color w:val="262626" w:themeColor="text1" w:themeTint="D9"/>
                <w:sz w:val="22"/>
                <w:szCs w:val="22"/>
                <w14:textFill>
                  <w14:solidFill>
                    <w14:schemeClr w14:val="tx1">
                      <w14:lumMod w14:val="85000"/>
                      <w14:lumOff w14:val="15000"/>
                    </w14:schemeClr>
                  </w14:solidFill>
                </w14:textFill>
              </w:rPr>
              <w:t>279.211</w:t>
            </w:r>
          </w:p>
        </w:tc>
      </w:tr>
      <w:tr w14:paraId="57B6B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14:paraId="4A299633">
            <w:pPr>
              <w:jc w:val="left"/>
              <w:rPr>
                <w:rFonts w:ascii="Times New Roman" w:hAnsi="Times New Roman" w:cs="Times New Roman"/>
                <w:color w:val="262626" w:themeColor="text1" w:themeTint="D9"/>
                <w:sz w:val="22"/>
                <w:u w:val="single"/>
                <w14:textFill>
                  <w14:solidFill>
                    <w14:schemeClr w14:val="tx1">
                      <w14:lumMod w14:val="85000"/>
                      <w14:lumOff w14:val="15000"/>
                    </w14:schemeClr>
                  </w14:solidFill>
                </w14:textFill>
              </w:rPr>
            </w:pPr>
            <w:r>
              <w:rPr>
                <w:rFonts w:ascii="Times New Roman" w:hAnsi="Times New Roman" w:cs="Times New Roman"/>
                <w:color w:val="auto"/>
                <w:sz w:val="22"/>
              </w:rPr>
              <w:t>备注：</w:t>
            </w:r>
            <w:r>
              <w:rPr>
                <w:rFonts w:hint="eastAsia" w:ascii="Times New Roman" w:hAnsi="Times New Roman" w:cs="Times New Roman"/>
                <w:color w:val="auto"/>
                <w:sz w:val="22"/>
                <w:u w:val="none"/>
              </w:rPr>
              <w:t>/</w:t>
            </w:r>
          </w:p>
        </w:tc>
      </w:tr>
    </w:tbl>
    <w:p w14:paraId="0ACC4773">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二、出让人：</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重庆市</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南川区</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规划和自然资源局，地址：</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重庆市南川区南大街</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89</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号</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，联系人：</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杨老师</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，联系电话：023-71420530。</w:t>
      </w:r>
    </w:p>
    <w:p w14:paraId="1C4EF884">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三、交易平台：</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重庆市公共资源交易中心</w:t>
      </w:r>
      <w:r>
        <w:rPr>
          <w:rFonts w:ascii="Times New Roman" w:hAnsi="Times New Roman" w:cs="Times New Roman"/>
          <w:bCs/>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地址：</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重庆市江北区永平门街14号8-1</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，联系人：王老师，联系电话：023-63628117。</w:t>
      </w:r>
    </w:p>
    <w:p w14:paraId="0D4C2804">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四、竞买人的资质条件：</w:t>
      </w:r>
    </w:p>
    <w:p w14:paraId="5EEE7738">
      <w:pPr>
        <w:spacing w:line="400" w:lineRule="exact"/>
        <w:ind w:firstLine="440" w:firstLineChars="200"/>
        <w:rPr>
          <w:rFonts w:ascii="Times New Roman" w:hAnsi="Times New Roman" w:cs="Times New Roman"/>
          <w:sz w:val="22"/>
        </w:rPr>
      </w:pPr>
      <w:r>
        <w:rPr>
          <w:rFonts w:ascii="Times New Roman" w:hAnsi="Times New Roman" w:cs="Times New Roman"/>
          <w:sz w:val="22"/>
        </w:rPr>
        <w:t>（一）竞买申请人须为营利法人；</w:t>
      </w:r>
    </w:p>
    <w:p w14:paraId="616806F5">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（二）竞买申请人属于以下情形之一的不得参与竞买：</w:t>
      </w:r>
    </w:p>
    <w:p w14:paraId="5A3C7521">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在全国矿业权人勘查开采信息管理系统</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的“矿业权人异常名录”</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矿业权严重失信主体</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”内</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p>
    <w:p w14:paraId="2C5F1FF1">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2.通过“信用中国”查询，在自然资源部联合惩戒备忘录或重庆市信用惩戒严重失信主体“黑名单”内限制禁止参与矿业权出让的；</w:t>
      </w:r>
    </w:p>
    <w:p w14:paraId="2171E1F7">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3.被吊销采矿许可证且自吊销之日起未满2年的。</w:t>
      </w:r>
    </w:p>
    <w:p w14:paraId="4FEB9532">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五、出让方式及交易的时间、地点</w:t>
      </w:r>
    </w:p>
    <w:p w14:paraId="329C8B42">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出让方式：</w:t>
      </w:r>
      <w:r>
        <w:rPr>
          <w:rFonts w:ascii="Times New Roman" w:hAnsi="Times New Roman" w:cs="Times New Roman"/>
          <w:i w:val="0"/>
          <w:iCs w:val="0"/>
          <w:color w:val="262626" w:themeColor="text1" w:themeTint="D9"/>
          <w:sz w:val="22"/>
          <w:u w:val="none"/>
          <w14:textFill>
            <w14:solidFill>
              <w14:schemeClr w14:val="tx1">
                <w14:lumMod w14:val="85000"/>
                <w14:lumOff w14:val="15000"/>
              </w14:schemeClr>
            </w14:solidFill>
          </w14:textFill>
        </w:rPr>
        <w:t>拍卖</w:t>
      </w:r>
    </w:p>
    <w:p w14:paraId="6A35B45A">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公告时间：</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2</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28</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p>
    <w:p w14:paraId="4FBBDF09">
      <w:pPr>
        <w:spacing w:line="400" w:lineRule="exact"/>
        <w:ind w:firstLine="440" w:firstLineChars="200"/>
        <w:rPr>
          <w:rFonts w:ascii="Times New Roman" w:hAnsi="Times New Roman" w:cs="Times New Roman"/>
          <w:i/>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网上拍卖时间：</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29</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10</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时</w:t>
      </w:r>
    </w:p>
    <w:p w14:paraId="40505300">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地点：重庆市公共资源交易中心（网址：https://td.cqggzy.com/）。</w:t>
      </w:r>
    </w:p>
    <w:p w14:paraId="0CDCD340">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六、获取竞买文件的途径和申请报名的起止时间及方式</w:t>
      </w:r>
    </w:p>
    <w:p w14:paraId="703E1359">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竞买文件获取：</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申请人在报名期限内登录重庆市公共资源交易中心网站</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（https://www.cqggzy.com/）</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，进入重庆市国有建设用地使用权和矿业权网上交易系统</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（网址：https://td.cqggzy.com/）</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，查阅、下载出让资料。</w:t>
      </w:r>
    </w:p>
    <w:p w14:paraId="6E747801">
      <w:pPr>
        <w:spacing w:line="400" w:lineRule="exact"/>
        <w:ind w:firstLine="440" w:firstLineChars="200"/>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网上报名时限：</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2</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时</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28</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17</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时</w:t>
      </w:r>
    </w:p>
    <w:p w14:paraId="517C0A56">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（三）</w:t>
      </w:r>
      <w:r>
        <w:rPr>
          <w:rFonts w:ascii="Times New Roman" w:hAnsi="Times New Roman" w:cs="Times New Roman"/>
          <w:b/>
          <w:bCs/>
          <w:color w:val="262626" w:themeColor="text1" w:themeTint="D9"/>
          <w:sz w:val="22"/>
          <w14:textFill>
            <w14:solidFill>
              <w14:schemeClr w14:val="tx1">
                <w14:lumMod w14:val="85000"/>
                <w14:lumOff w14:val="15000"/>
              </w14:schemeClr>
            </w14:solidFill>
          </w14:textFill>
        </w:rPr>
        <w:t>网上报名方式和程序</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：本次公开出让的采矿权采取网上报名方式：申请人应于报名期限内登录重庆市国有建设用地使用权和矿业权网上交易系统，按规定提交竞买申请，在报名期限内足额交纳竞买保证金，提交报名资料电子档。</w:t>
      </w:r>
    </w:p>
    <w:p w14:paraId="2A461988">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（四）保证金的交纳详见《出让文件》</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p>
    <w:p w14:paraId="0C4D1932">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七、确定竞得人的标准和方法</w:t>
      </w:r>
    </w:p>
    <w:p w14:paraId="7D5A2E75">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本次拍卖出让</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未设置</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底价，采用网上增价报价的方式，按照价高者得原则确定竞得人。拍卖成交后的竞得人按规定即时签订《成交确认书》，成交结果在相关网站公示10个工作日。</w:t>
      </w:r>
    </w:p>
    <w:p w14:paraId="0E7807D3">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八、风险提示</w:t>
      </w:r>
    </w:p>
    <w:p w14:paraId="29D0D358">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cs="Times New Roman"/>
          <w:color w:val="262626" w:themeColor="text1" w:themeTint="D9"/>
          <w:kern w:val="0"/>
          <w:sz w:val="22"/>
          <w:lang w:val="en-US" w:eastAsia="zh-CN"/>
          <w14:textFill>
            <w14:solidFill>
              <w14:schemeClr w14:val="tx1">
                <w14:lumMod w14:val="85000"/>
                <w14:lumOff w14:val="15000"/>
              </w14:schemeClr>
            </w14:solidFill>
          </w14:textFill>
        </w:rPr>
        <w:t>拟出让</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采矿权现状和出让文件已完全认可并自愿承担所有风险</w:t>
      </w:r>
      <w:r>
        <w:rPr>
          <w:rFonts w:hint="eastAsia" w:ascii="Times New Roman" w:hAnsi="Times New Roman" w:cs="Times New Roman"/>
          <w:color w:val="262626" w:themeColor="text1" w:themeTint="D9"/>
          <w:kern w:val="0"/>
          <w:sz w:val="22"/>
          <w14:textFill>
            <w14:solidFill>
              <w14:schemeClr w14:val="tx1">
                <w14:lumMod w14:val="85000"/>
                <w14:lumOff w14:val="15000"/>
              </w14:schemeClr>
            </w14:solidFill>
          </w14:textFill>
        </w:rPr>
        <w:t>。</w:t>
      </w:r>
    </w:p>
    <w:p w14:paraId="688601DC">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（二）有关该宗采矿权的用地、用水、用电、公路、环保、基础设施等工作，由竞得人自行负责解决并依法完善相关手续</w:t>
      </w:r>
      <w:r>
        <w:rPr>
          <w:rFonts w:hint="eastAsia" w:ascii="Times New Roman" w:hAnsi="Times New Roman" w:cs="Times New Roman"/>
          <w:color w:val="262626" w:themeColor="text1" w:themeTint="D9"/>
          <w:kern w:val="0"/>
          <w:sz w:val="22"/>
          <w14:textFill>
            <w14:solidFill>
              <w14:schemeClr w14:val="tx1">
                <w14:lumMod w14:val="85000"/>
                <w14:lumOff w14:val="15000"/>
              </w14:schemeClr>
            </w14:solidFill>
          </w14:textFill>
        </w:rPr>
        <w:t>。</w:t>
      </w:r>
    </w:p>
    <w:p w14:paraId="07A71961">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（三）若竞得人竞得该宗采矿权后，在办理采矿登记前进行安全、环境评价等认定为不适宜开采的，该宗采矿权按不成交处理。</w:t>
      </w:r>
    </w:p>
    <w:p w14:paraId="2BEA6532">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九、对交易矿业权异议的处理方式</w:t>
      </w:r>
    </w:p>
    <w:p w14:paraId="1FEDD812">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对本次出让的采矿权存有异议的，应在</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采矿权出让</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公告期截止前以书面方式向</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重庆市</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南川区</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规划和自然资源局提出</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联系人：</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杨老师</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，联系电话：</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023-71420530）</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。根据所提异议的具体情况，按照《矿业权出让交易规则》（自然资规〔2023〕1号）等相关规定进行妥善处置。</w:t>
      </w:r>
    </w:p>
    <w:p w14:paraId="0C23C6B4">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十、违约责任、公共资源交易领域失信联合惩戒相关提示</w:t>
      </w:r>
    </w:p>
    <w:p w14:paraId="7B3C88CF">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50892AC5">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（二）有下列情形之一的，视为竞买人、竞得人违约，竞得结果无效，并将其列入失信联合惩戒名单、竞买保证金不予退还，出让方有权不再签订出让合同或解除合同：</w:t>
      </w:r>
    </w:p>
    <w:p w14:paraId="353A3DDE">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1.竞买人之间串通报价，损害国家利益、社会公共利益或者他人合法权益的；</w:t>
      </w:r>
    </w:p>
    <w:p w14:paraId="19FDD470">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2.竞买人弄虚作假，骗取交易资格或竞得的；</w:t>
      </w:r>
    </w:p>
    <w:p w14:paraId="353E324A">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3.采取行贿或其他不正当手段竞得的；</w:t>
      </w:r>
    </w:p>
    <w:p w14:paraId="580A2C63">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4.竞得人逾期不签订或者拒绝签订成交确认书的；</w:t>
      </w:r>
    </w:p>
    <w:p w14:paraId="47C24CFA">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5.竞得人逾期不签订或者拒绝签订出让合同的；</w:t>
      </w:r>
    </w:p>
    <w:p w14:paraId="49A14E08">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6.其他依法应当认定为违约的情形。</w:t>
      </w:r>
    </w:p>
    <w:p w14:paraId="7AA59697">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十一、其他重要提示</w:t>
      </w:r>
    </w:p>
    <w:p w14:paraId="3EC97094">
      <w:pPr>
        <w:spacing w:line="400" w:lineRule="exact"/>
        <w:ind w:firstLine="440" w:firstLineChars="200"/>
        <w:rPr>
          <w:rFonts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一</w:t>
      </w:r>
      <w:r>
        <w:rPr>
          <w:rFonts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竞得人</w:t>
      </w:r>
      <w:r>
        <w:rPr>
          <w:rFonts w:hint="eastAsia" w:ascii="Times New Roman" w:hAnsi="Times New Roman" w:cs="Times New Roman" w:eastAsiaTheme="minorEastAsia"/>
          <w:color w:val="262626" w:themeColor="text1" w:themeTint="D9"/>
          <w:sz w:val="22"/>
          <w:u w:val="none"/>
          <w14:textFill>
            <w14:solidFill>
              <w14:schemeClr w14:val="tx1">
                <w14:lumMod w14:val="85000"/>
                <w14:lumOff w14:val="15000"/>
              </w14:schemeClr>
            </w14:solidFill>
          </w14:textFill>
        </w:rPr>
        <w:t>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r>
        <w:rPr>
          <w:rFonts w:hint="eastAsia"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w:t>
      </w:r>
    </w:p>
    <w:p w14:paraId="57760EDE">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二</w:t>
      </w:r>
      <w:r>
        <w:rPr>
          <w:rFonts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eastAsiaTheme="minorEastAsia"/>
          <w:strike w:val="0"/>
          <w:dstrike w:val="0"/>
          <w:color w:val="262626" w:themeColor="text1" w:themeTint="D9"/>
          <w:sz w:val="22"/>
          <w:u w:val="none"/>
          <w14:textFill>
            <w14:solidFill>
              <w14:schemeClr w14:val="tx1">
                <w14:lumMod w14:val="85000"/>
                <w14:lumOff w14:val="15000"/>
              </w14:schemeClr>
            </w14:solidFill>
          </w14:textFill>
        </w:rPr>
        <w:t>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14:paraId="1216EEE3">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Times New Roman" w:hAnsi="Times New Roman" w:cs="Times New Roman" w:eastAsiaTheme="minorEastAsia"/>
          <w:color w:val="262626" w:themeColor="text1" w:themeTint="D9"/>
          <w:sz w:val="22"/>
          <w:u w:val="none"/>
          <w:lang w:eastAsia="zh-CN"/>
          <w14:textFill>
            <w14:solidFill>
              <w14:schemeClr w14:val="tx1">
                <w14:lumMod w14:val="85000"/>
                <w14:lumOff w14:val="15000"/>
              </w14:schemeClr>
            </w14:solidFill>
          </w14:textFill>
        </w:rPr>
      </w:pPr>
      <w:r>
        <w:rPr>
          <w:rFonts w:ascii="Times New Roman" w:hAnsi="Times New Roman" w:cs="Times New Roman" w:eastAsiaTheme="minorEastAsia"/>
          <w:strike w:val="0"/>
          <w:dstrike w:val="0"/>
          <w:color w:val="auto"/>
          <w:sz w:val="22"/>
          <w:u w:val="none"/>
        </w:rPr>
        <w:t>（</w:t>
      </w:r>
      <w:r>
        <w:rPr>
          <w:rFonts w:hint="eastAsia" w:ascii="Times New Roman" w:hAnsi="Times New Roman" w:cs="Times New Roman"/>
          <w:strike w:val="0"/>
          <w:dstrike w:val="0"/>
          <w:color w:val="auto"/>
          <w:sz w:val="22"/>
          <w:u w:val="none"/>
          <w:lang w:val="en-US" w:eastAsia="zh-CN"/>
        </w:rPr>
        <w:t>三</w:t>
      </w:r>
      <w:r>
        <w:rPr>
          <w:rFonts w:ascii="Times New Roman" w:hAnsi="Times New Roman" w:cs="Times New Roman" w:eastAsiaTheme="minorEastAsia"/>
          <w:strike w:val="0"/>
          <w:dstrike w:val="0"/>
          <w:color w:val="auto"/>
          <w:sz w:val="22"/>
          <w:u w:val="none"/>
        </w:rPr>
        <w:t>）</w:t>
      </w:r>
      <w:r>
        <w:rPr>
          <w:rFonts w:hint="eastAsia" w:ascii="Times New Roman" w:hAnsi="Times New Roman" w:cs="Times New Roman" w:eastAsiaTheme="minorEastAsia"/>
          <w:strike w:val="0"/>
          <w:dstrike w:val="0"/>
          <w:color w:val="auto"/>
          <w:sz w:val="22"/>
          <w:u w:val="none"/>
        </w:rPr>
        <w:t>竞买申请人须认真详读出让文件，现场踏</w:t>
      </w:r>
      <w:r>
        <w:rPr>
          <w:rFonts w:hint="eastAsia" w:ascii="Times New Roman" w:hAnsi="Times New Roman" w:cs="Times New Roman" w:eastAsiaTheme="minorEastAsia"/>
          <w:strike w:val="0"/>
          <w:dstrike w:val="0"/>
          <w:color w:val="auto"/>
          <w:sz w:val="22"/>
          <w:highlight w:val="none"/>
          <w:u w:val="none"/>
        </w:rPr>
        <w:t>勘并详细了解出让范围及周边土地、山权、林权、道路、地下管线、水电供给、废渣占地堆放、地表附着物、社群关系等影响资源开采的外部条件以及</w:t>
      </w:r>
      <w:r>
        <w:rPr>
          <w:rFonts w:hint="eastAsia" w:ascii="Times New Roman" w:hAnsi="Times New Roman" w:cs="Times New Roman"/>
          <w:strike w:val="0"/>
          <w:dstrike w:val="0"/>
          <w:color w:val="auto"/>
          <w:sz w:val="22"/>
          <w:highlight w:val="none"/>
          <w:u w:val="none"/>
          <w:lang w:val="en-US" w:eastAsia="zh-CN"/>
        </w:rPr>
        <w:t>矿区范围所涉及的土地流转等</w:t>
      </w:r>
      <w:r>
        <w:rPr>
          <w:rFonts w:hint="eastAsia" w:ascii="Times New Roman" w:hAnsi="Times New Roman" w:cs="Times New Roman" w:eastAsiaTheme="minorEastAsia"/>
          <w:strike w:val="0"/>
          <w:dstrike w:val="0"/>
          <w:color w:val="auto"/>
          <w:sz w:val="22"/>
          <w:highlight w:val="none"/>
          <w:u w:val="none"/>
        </w:rPr>
        <w:t>其他权益补偿情况</w:t>
      </w:r>
      <w:r>
        <w:rPr>
          <w:rFonts w:hint="eastAsia" w:ascii="Times New Roman" w:hAnsi="Times New Roman" w:cs="Times New Roman"/>
          <w:strike w:val="0"/>
          <w:dstrike w:val="0"/>
          <w:color w:val="auto"/>
          <w:sz w:val="22"/>
          <w:highlight w:val="none"/>
          <w:u w:val="none"/>
          <w:lang w:eastAsia="zh-CN"/>
        </w:rPr>
        <w:t>，</w:t>
      </w:r>
      <w:r>
        <w:rPr>
          <w:rFonts w:hint="eastAsia" w:ascii="Times New Roman" w:hAnsi="Times New Roman" w:cs="Times New Roman"/>
          <w:strike w:val="0"/>
          <w:dstrike w:val="0"/>
          <w:color w:val="auto"/>
          <w:sz w:val="22"/>
          <w:highlight w:val="none"/>
          <w:u w:val="none"/>
          <w:lang w:val="en-US" w:eastAsia="zh-CN"/>
        </w:rPr>
        <w:t>并自愿接受现状情况</w:t>
      </w:r>
      <w:r>
        <w:rPr>
          <w:rFonts w:hint="eastAsia" w:ascii="Times New Roman" w:hAnsi="Times New Roman" w:cs="Times New Roman" w:eastAsiaTheme="minorEastAsia"/>
          <w:strike w:val="0"/>
          <w:dstrike w:val="0"/>
          <w:color w:val="auto"/>
          <w:sz w:val="22"/>
          <w:highlight w:val="none"/>
          <w:u w:val="none"/>
        </w:rPr>
        <w:t>。竞得人需自行办理林地、安全施工、环境保护、水土保持、矿区生态修复方案批复</w:t>
      </w:r>
      <w:r>
        <w:rPr>
          <w:rFonts w:hint="eastAsia" w:ascii="Times New Roman" w:hAnsi="Times New Roman" w:cs="Times New Roman"/>
          <w:strike w:val="0"/>
          <w:dstrike w:val="0"/>
          <w:color w:val="auto"/>
          <w:sz w:val="22"/>
          <w:highlight w:val="none"/>
          <w:u w:val="none"/>
          <w:lang w:eastAsia="zh-CN"/>
        </w:rPr>
        <w:t>、</w:t>
      </w:r>
      <w:r>
        <w:rPr>
          <w:rFonts w:hint="eastAsia" w:ascii="Times New Roman" w:hAnsi="Times New Roman" w:cs="Times New Roman"/>
          <w:strike w:val="0"/>
          <w:dstrike w:val="0"/>
          <w:color w:val="auto"/>
          <w:sz w:val="22"/>
          <w:highlight w:val="none"/>
          <w:u w:val="none"/>
          <w:lang w:val="en-US" w:eastAsia="zh-CN"/>
        </w:rPr>
        <w:t>协议签订</w:t>
      </w:r>
      <w:r>
        <w:rPr>
          <w:rFonts w:hint="eastAsia" w:ascii="Times New Roman" w:hAnsi="Times New Roman" w:cs="Times New Roman" w:eastAsiaTheme="minorEastAsia"/>
          <w:strike w:val="0"/>
          <w:dstrike w:val="0"/>
          <w:color w:val="auto"/>
          <w:sz w:val="22"/>
          <w:u w:val="none"/>
        </w:rPr>
        <w:t>等其它手续。</w:t>
      </w:r>
      <w:r>
        <w:rPr>
          <w:rFonts w:hint="eastAsia" w:ascii="Times New Roman" w:hAnsi="Times New Roman" w:cs="Times New Roman" w:eastAsiaTheme="minorEastAsia"/>
          <w:color w:val="auto"/>
          <w:sz w:val="22"/>
          <w:u w:val="none"/>
        </w:rPr>
        <w:t>（</w:t>
      </w:r>
      <w:r>
        <w:rPr>
          <w:rFonts w:hint="eastAsia" w:ascii="Times New Roman" w:hAnsi="Times New Roman" w:cs="Times New Roman" w:eastAsiaTheme="minorEastAsia"/>
          <w:color w:val="auto"/>
          <w:sz w:val="22"/>
          <w:u w:val="none"/>
          <w:lang w:val="en-US" w:eastAsia="zh-CN"/>
        </w:rPr>
        <w:t>重庆市</w:t>
      </w:r>
      <w:r>
        <w:rPr>
          <w:rFonts w:hint="eastAsia" w:ascii="Times New Roman" w:hAnsi="Times New Roman" w:cs="Times New Roman"/>
          <w:color w:val="auto"/>
          <w:sz w:val="22"/>
          <w:u w:val="none"/>
          <w:lang w:val="en-US" w:eastAsia="zh-CN"/>
        </w:rPr>
        <w:t>南川区</w:t>
      </w:r>
      <w:r>
        <w:rPr>
          <w:rFonts w:hint="eastAsia" w:ascii="Times New Roman" w:hAnsi="Times New Roman" w:cs="Times New Roman" w:eastAsiaTheme="minorEastAsia"/>
          <w:color w:val="auto"/>
          <w:sz w:val="22"/>
          <w:u w:val="none"/>
        </w:rPr>
        <w:t>县规划自然资源局联系人：</w:t>
      </w:r>
      <w:r>
        <w:rPr>
          <w:rFonts w:hint="eastAsia" w:ascii="Times New Roman" w:hAnsi="Times New Roman" w:cs="Times New Roman"/>
          <w:color w:val="auto"/>
          <w:sz w:val="22"/>
          <w:u w:val="none"/>
          <w:lang w:eastAsia="zh-CN"/>
        </w:rPr>
        <w:t>杨老师</w:t>
      </w:r>
      <w:r>
        <w:rPr>
          <w:rFonts w:hint="eastAsia" w:ascii="Times New Roman" w:hAnsi="Times New Roman" w:cs="Times New Roman" w:eastAsiaTheme="minorEastAsia"/>
          <w:color w:val="auto"/>
          <w:sz w:val="22"/>
          <w:u w:val="none"/>
        </w:rPr>
        <w:t>，联系电话：</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023-71420530</w:t>
      </w:r>
      <w:r>
        <w:rPr>
          <w:rFonts w:hint="eastAsia" w:ascii="Times New Roman" w:hAnsi="Times New Roman" w:cs="Times New Roman" w:eastAsiaTheme="minorEastAsia"/>
          <w:color w:val="auto"/>
          <w:sz w:val="22"/>
          <w:u w:val="none"/>
        </w:rPr>
        <w:t>）</w:t>
      </w:r>
    </w:p>
    <w:p w14:paraId="12945577">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Times New Roman" w:hAnsi="Times New Roman" w:cs="Times New Roman" w:eastAsiaTheme="minorEastAsia"/>
          <w:color w:val="FF0000"/>
          <w:sz w:val="22"/>
          <w:u w:val="none"/>
        </w:rPr>
      </w:pPr>
      <w:r>
        <w:rPr>
          <w:rFonts w:hint="eastAsia" w:ascii="Times New Roman" w:hAnsi="Times New Roman" w:cs="Times New Roman" w:eastAsiaTheme="minorEastAsia"/>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四</w:t>
      </w:r>
      <w:r>
        <w:rPr>
          <w:rFonts w:hint="eastAsia" w:ascii="Times New Roman" w:hAnsi="Times New Roman" w:cs="Times New Roman" w:eastAsiaTheme="minorEastAsia"/>
          <w:color w:val="262626" w:themeColor="text1" w:themeTint="D9"/>
          <w:sz w:val="22"/>
          <w:u w:val="none"/>
          <w14:textFill>
            <w14:solidFill>
              <w14:schemeClr w14:val="tx1">
                <w14:lumMod w14:val="85000"/>
                <w14:lumOff w14:val="15000"/>
              </w14:schemeClr>
            </w14:solidFill>
          </w14:textFill>
        </w:rPr>
        <w:t>）提交竞买申请即视为竞买人对拟出让采矿权现状、出让文件、采矿权出让合同、政策要求等内容已完全</w:t>
      </w:r>
      <w:r>
        <w:rPr>
          <w:rFonts w:hint="eastAsia" w:ascii="Times New Roman" w:hAnsi="Times New Roman" w:cs="Times New Roman" w:eastAsiaTheme="minorEastAsia"/>
          <w:color w:val="auto"/>
          <w:sz w:val="22"/>
          <w:u w:val="none"/>
        </w:rPr>
        <w:t>认可并自愿承担所有风险。</w:t>
      </w:r>
    </w:p>
    <w:p w14:paraId="065EE646">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cs="Times New Roman" w:eastAsiaTheme="minorEastAsia"/>
          <w:color w:val="262626" w:themeColor="text1" w:themeTint="D9"/>
          <w:kern w:val="2"/>
          <w:sz w:val="22"/>
          <w:szCs w:val="22"/>
          <w:u w:val="none"/>
          <w:lang w:val="en-US" w:eastAsia="zh-CN" w:bidi="ar-SA"/>
          <w14:textFill>
            <w14:solidFill>
              <w14:schemeClr w14:val="tx1">
                <w14:lumMod w14:val="85000"/>
                <w14:lumOff w14:val="15000"/>
              </w14:schemeClr>
            </w14:solidFill>
          </w14:textFill>
        </w:rPr>
      </w:pPr>
      <w:r>
        <w:rPr>
          <w:rFonts w:hint="eastAsia" w:ascii="Times New Roman" w:hAnsi="Times New Roman" w:cs="Times New Roman" w:eastAsiaTheme="minorEastAsia"/>
          <w:color w:val="262626" w:themeColor="text1" w:themeTint="D9"/>
          <w:kern w:val="2"/>
          <w:sz w:val="22"/>
          <w:szCs w:val="22"/>
          <w:u w:val="none"/>
          <w:lang w:val="en-US" w:eastAsia="zh-CN" w:bidi="ar-SA"/>
          <w14:textFill>
            <w14:solidFill>
              <w14:schemeClr w14:val="tx1">
                <w14:lumMod w14:val="85000"/>
                <w14:lumOff w14:val="15000"/>
              </w14:schemeClr>
            </w14:solidFill>
          </w14:textFill>
        </w:rPr>
        <w:t>（五）竞得人在签收《成交确认书》之日起5个工作日内需另行支付交易服务费</w:t>
      </w:r>
      <w:r>
        <w:rPr>
          <w:rFonts w:hint="default" w:ascii="Times New Roman" w:hAnsi="Times New Roman" w:cs="Times New Roman" w:eastAsiaTheme="minorEastAsia"/>
          <w:color w:val="262626" w:themeColor="text1" w:themeTint="D9"/>
          <w:kern w:val="2"/>
          <w:sz w:val="22"/>
          <w:szCs w:val="22"/>
          <w:u w:val="none"/>
          <w:lang w:val="en-US" w:eastAsia="zh-CN" w:bidi="ar-SA"/>
          <w14:textFill>
            <w14:solidFill>
              <w14:schemeClr w14:val="tx1">
                <w14:lumMod w14:val="85000"/>
                <w14:lumOff w14:val="15000"/>
              </w14:schemeClr>
            </w14:solidFill>
          </w14:textFill>
        </w:rPr>
        <w:t>9.480275</w:t>
      </w:r>
      <w:r>
        <w:rPr>
          <w:rFonts w:hint="eastAsia" w:ascii="Times New Roman" w:hAnsi="Times New Roman" w:cs="Times New Roman" w:eastAsiaTheme="minorEastAsia"/>
          <w:color w:val="262626" w:themeColor="text1" w:themeTint="D9"/>
          <w:kern w:val="2"/>
          <w:sz w:val="22"/>
          <w:szCs w:val="22"/>
          <w:u w:val="none"/>
          <w:lang w:val="en-US" w:eastAsia="zh-CN" w:bidi="ar-SA"/>
          <w14:textFill>
            <w14:solidFill>
              <w14:schemeClr w14:val="tx1">
                <w14:lumMod w14:val="85000"/>
                <w14:lumOff w14:val="15000"/>
              </w14:schemeClr>
            </w14:solidFill>
          </w14:textFill>
        </w:rPr>
        <w:t>万元（暂定，以最终成交价测算为准）。收费标准按《重庆市发展和改革委员会关于矿业权和加工贸易废料交易服务收费有关事项的通知》（渝发改收费〔2025〕421号）执行。</w:t>
      </w:r>
    </w:p>
    <w:p w14:paraId="1262B496">
      <w:pPr>
        <w:pStyle w:val="2"/>
        <w:ind w:firstLine="442"/>
        <w:rPr>
          <w:rFonts w:ascii="Times New Roman" w:hAnsi="Times New Roman" w:cs="Times New Roman"/>
          <w:b/>
          <w:bCs/>
          <w:color w:val="262626" w:themeColor="text1" w:themeTint="D9"/>
          <w:sz w:val="22"/>
          <w:u w:val="single"/>
          <w14:textFill>
            <w14:solidFill>
              <w14:schemeClr w14:val="tx1">
                <w14:lumMod w14:val="85000"/>
                <w14:lumOff w14:val="15000"/>
              </w14:schemeClr>
            </w14:solidFill>
          </w14:textFill>
        </w:rPr>
      </w:pPr>
    </w:p>
    <w:p w14:paraId="0F32C6B5">
      <w:pPr>
        <w:pStyle w:val="2"/>
        <w:ind w:firstLine="442"/>
        <w:rPr>
          <w:rFonts w:ascii="Times New Roman" w:hAnsi="Times New Roman" w:cs="Times New Roman"/>
          <w:b/>
          <w:bCs/>
          <w:color w:val="262626" w:themeColor="text1" w:themeTint="D9"/>
          <w:sz w:val="22"/>
          <w:u w:val="single"/>
          <w14:textFill>
            <w14:solidFill>
              <w14:schemeClr w14:val="tx1">
                <w14:lumMod w14:val="85000"/>
                <w14:lumOff w14:val="15000"/>
              </w14:schemeClr>
            </w14:solidFill>
          </w14:textFill>
        </w:rPr>
      </w:pPr>
    </w:p>
    <w:p w14:paraId="6207598A">
      <w:pPr>
        <w:snapToGrid w:val="0"/>
        <w:spacing w:line="400" w:lineRule="exact"/>
        <w:jc w:val="right"/>
        <w:rPr>
          <w:rFonts w:ascii="Times New Roman" w:hAnsi="Times New Roman" w:cs="Times New Roman"/>
          <w:color w:val="262626" w:themeColor="text1" w:themeTint="D9"/>
          <w:sz w:val="22"/>
          <w14:textFill>
            <w14:solidFill>
              <w14:schemeClr w14:val="tx1">
                <w14:lumMod w14:val="85000"/>
                <w14:lumOff w14:val="15000"/>
              </w14:schemeClr>
            </w14:solidFill>
          </w14:textFill>
        </w:rPr>
      </w:pPr>
      <w:bookmarkStart w:id="0" w:name="_GoBack"/>
      <w:bookmarkEnd w:id="0"/>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重庆市</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南川区</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w:t>
      </w:r>
    </w:p>
    <w:p w14:paraId="44F4B1B0">
      <w:pPr>
        <w:snapToGrid w:val="0"/>
        <w:spacing w:line="400" w:lineRule="exact"/>
        <w:jc w:val="right"/>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2025年</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9</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r>
        <w:rPr>
          <w:rFonts w:hint="default" w:ascii="Times New Roman" w:hAnsi="Times New Roman" w:cs="Times New Roman"/>
          <w:color w:val="262626" w:themeColor="text1" w:themeTint="D9"/>
          <w:sz w:val="22"/>
          <w:u w:val="none"/>
          <w:lang w:val="en-US"/>
          <w14:textFill>
            <w14:solidFill>
              <w14:schemeClr w14:val="tx1">
                <w14:lumMod w14:val="85000"/>
                <w14:lumOff w14:val="15000"/>
              </w14:schemeClr>
            </w14:solidFill>
          </w14:textFill>
        </w:rPr>
        <w:t>2</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p>
    <w:p w14:paraId="0D4D5C6F">
      <w:pPr>
        <w:spacing w:line="400" w:lineRule="exact"/>
        <w:rPr>
          <w:rFonts w:ascii="Times New Roman" w:hAnsi="Times New Roman" w:cs="Times New Roman"/>
          <w:color w:val="262626" w:themeColor="text1" w:themeTint="D9"/>
          <w14:textFill>
            <w14:solidFill>
              <w14:schemeClr w14:val="tx1">
                <w14:lumMod w14:val="85000"/>
                <w14:lumOff w14:val="15000"/>
              </w14:schemeClr>
            </w14:solidFill>
          </w14:textFill>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83A47">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92487E">
                          <w:pPr>
                            <w:pStyle w:val="4"/>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192487E">
                    <w:pPr>
                      <w:pStyle w:val="4"/>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04603">
    <w:pPr>
      <w:pStyle w:val="4"/>
      <w:framePr w:wrap="around" w:vAnchor="text" w:hAnchor="margin" w:xAlign="center" w:y="1"/>
      <w:rPr>
        <w:rStyle w:val="8"/>
      </w:rPr>
    </w:pPr>
    <w:r>
      <w:fldChar w:fldCharType="begin"/>
    </w:r>
    <w:r>
      <w:rPr>
        <w:rStyle w:val="8"/>
      </w:rPr>
      <w:instrText xml:space="preserve">PAGE  </w:instrText>
    </w:r>
    <w:r>
      <w:fldChar w:fldCharType="end"/>
    </w:r>
  </w:p>
  <w:p w14:paraId="2D36BD48">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056AAC"/>
    <w:rsid w:val="00052B90"/>
    <w:rsid w:val="00056AAC"/>
    <w:rsid w:val="00063A7E"/>
    <w:rsid w:val="000975E7"/>
    <w:rsid w:val="000E191A"/>
    <w:rsid w:val="000E565C"/>
    <w:rsid w:val="0031541B"/>
    <w:rsid w:val="00340022"/>
    <w:rsid w:val="00375DE0"/>
    <w:rsid w:val="003D24F6"/>
    <w:rsid w:val="004A1185"/>
    <w:rsid w:val="004F18DB"/>
    <w:rsid w:val="005163E1"/>
    <w:rsid w:val="005710EA"/>
    <w:rsid w:val="006A32F1"/>
    <w:rsid w:val="006B0DCB"/>
    <w:rsid w:val="006F4C2D"/>
    <w:rsid w:val="007A1C57"/>
    <w:rsid w:val="007C35C8"/>
    <w:rsid w:val="0082044C"/>
    <w:rsid w:val="008D7E49"/>
    <w:rsid w:val="00974337"/>
    <w:rsid w:val="00975F9B"/>
    <w:rsid w:val="009B53AD"/>
    <w:rsid w:val="00A52865"/>
    <w:rsid w:val="00A76CEA"/>
    <w:rsid w:val="00B930E5"/>
    <w:rsid w:val="00CE1A74"/>
    <w:rsid w:val="00CE1CA2"/>
    <w:rsid w:val="00CF36F4"/>
    <w:rsid w:val="00D01457"/>
    <w:rsid w:val="00DE08DA"/>
    <w:rsid w:val="00E02C27"/>
    <w:rsid w:val="00E766B3"/>
    <w:rsid w:val="00EB0926"/>
    <w:rsid w:val="00EB12AF"/>
    <w:rsid w:val="01385C79"/>
    <w:rsid w:val="015A5410"/>
    <w:rsid w:val="02DD369A"/>
    <w:rsid w:val="052B08C7"/>
    <w:rsid w:val="05713919"/>
    <w:rsid w:val="0664749B"/>
    <w:rsid w:val="068E47A1"/>
    <w:rsid w:val="07C748A0"/>
    <w:rsid w:val="09227266"/>
    <w:rsid w:val="0942732B"/>
    <w:rsid w:val="096C03CE"/>
    <w:rsid w:val="0B545B2A"/>
    <w:rsid w:val="0CDE4E82"/>
    <w:rsid w:val="0D673348"/>
    <w:rsid w:val="0E6E1815"/>
    <w:rsid w:val="0F7D162F"/>
    <w:rsid w:val="124B2014"/>
    <w:rsid w:val="12882EF9"/>
    <w:rsid w:val="12DA148D"/>
    <w:rsid w:val="13357322"/>
    <w:rsid w:val="170C3BE2"/>
    <w:rsid w:val="178F18B2"/>
    <w:rsid w:val="184E2D92"/>
    <w:rsid w:val="185A6DF6"/>
    <w:rsid w:val="18DD38F2"/>
    <w:rsid w:val="196D078A"/>
    <w:rsid w:val="1EA72953"/>
    <w:rsid w:val="22325614"/>
    <w:rsid w:val="25781413"/>
    <w:rsid w:val="25D74E70"/>
    <w:rsid w:val="26C56296"/>
    <w:rsid w:val="275E4DA2"/>
    <w:rsid w:val="277472DD"/>
    <w:rsid w:val="2B4E3FB7"/>
    <w:rsid w:val="2D111E99"/>
    <w:rsid w:val="2FE14568"/>
    <w:rsid w:val="30EA17EB"/>
    <w:rsid w:val="324C5035"/>
    <w:rsid w:val="35A340AA"/>
    <w:rsid w:val="36DE2377"/>
    <w:rsid w:val="38391F39"/>
    <w:rsid w:val="3C465B28"/>
    <w:rsid w:val="426E3762"/>
    <w:rsid w:val="42EC36FA"/>
    <w:rsid w:val="44332CED"/>
    <w:rsid w:val="453B3381"/>
    <w:rsid w:val="46425E04"/>
    <w:rsid w:val="4A1803DB"/>
    <w:rsid w:val="4DE3788F"/>
    <w:rsid w:val="4E992B50"/>
    <w:rsid w:val="50B41F1C"/>
    <w:rsid w:val="510F4EE8"/>
    <w:rsid w:val="51400C00"/>
    <w:rsid w:val="555A3E9D"/>
    <w:rsid w:val="57E9194C"/>
    <w:rsid w:val="58FC03C6"/>
    <w:rsid w:val="5AB11D1A"/>
    <w:rsid w:val="5BA21BCC"/>
    <w:rsid w:val="61D13B9A"/>
    <w:rsid w:val="6382289A"/>
    <w:rsid w:val="64413C5F"/>
    <w:rsid w:val="66695171"/>
    <w:rsid w:val="6B3D48D3"/>
    <w:rsid w:val="6EDA6611"/>
    <w:rsid w:val="6EE84A97"/>
    <w:rsid w:val="72425A47"/>
    <w:rsid w:val="73714E4B"/>
    <w:rsid w:val="741916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basedOn w:val="7"/>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2529</Words>
  <Characters>2828</Characters>
  <Lines>19</Lines>
  <Paragraphs>5</Paragraphs>
  <TotalTime>70</TotalTime>
  <ScaleCrop>false</ScaleCrop>
  <LinksUpToDate>false</LinksUpToDate>
  <CharactersWithSpaces>2829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蔡蔡</cp:lastModifiedBy>
  <cp:lastPrinted>2025-08-29T07:19:00Z</cp:lastPrinted>
  <dcterms:modified xsi:type="dcterms:W3CDTF">2025-08-29T09:09:15Z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8FD2005A94C44051B0F3CD7F2ED195AB_13</vt:lpwstr>
  </property>
  <property fmtid="{D5CDD505-2E9C-101B-9397-08002B2CF9AE}" pid="4" name="KSOTemplateDocerSaveRecord">
    <vt:lpwstr>eyJoZGlkIjoiY2VhYWMyMWIxZTk3ZWY4NmQyZGQyZmEyNzBlYzQyMDciLCJ1c2VySWQiOiIxNjgxNzAyNDQ1In0=</vt:lpwstr>
  </property>
</Properties>
</file>