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476B4">
      <w:pPr>
        <w:snapToGrid w:val="0"/>
        <w:spacing w:line="600" w:lineRule="exact"/>
        <w:jc w:val="center"/>
        <w:rPr>
          <w:rFonts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pPr>
      <w:r>
        <w:rPr>
          <w:rFonts w:hint="eastAsia"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t>南川区大有镇大一村建筑石料用灰岩矿</w:t>
      </w:r>
      <w:r>
        <w:rPr>
          <w:rFonts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t>采矿权拍卖出让文件</w:t>
      </w:r>
    </w:p>
    <w:p w14:paraId="50ABE255">
      <w:pPr>
        <w:wordWrap w:val="0"/>
        <w:spacing w:line="360" w:lineRule="exact"/>
        <w:jc w:val="right"/>
        <w:rPr>
          <w:rFonts w:ascii="Times New Roman" w:hAnsi="Times New Roman" w:eastAsia="宋体" w:cs="Times New Roman"/>
          <w:b/>
          <w:color w:val="262626" w:themeColor="text1" w:themeTint="D9"/>
          <w:sz w:val="32"/>
          <w:szCs w:val="32"/>
          <w14:textFill>
            <w14:solidFill>
              <w14:schemeClr w14:val="tx1">
                <w14:lumMod w14:val="85000"/>
                <w14:lumOff w14:val="15000"/>
              </w14:schemeClr>
            </w14:solidFill>
          </w14:textFill>
        </w:rPr>
      </w:pPr>
    </w:p>
    <w:p w14:paraId="4596D86C">
      <w:pPr>
        <w:wordWrap w:val="0"/>
        <w:spacing w:line="360" w:lineRule="exact"/>
        <w:jc w:val="right"/>
        <w:rPr>
          <w:rFonts w:ascii="Times New Roman" w:hAnsi="Times New Roman" w:eastAsia="方正仿宋_GBK" w:cs="Times New Roman"/>
          <w:b/>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
          <w:color w:val="262626" w:themeColor="text1" w:themeTint="D9"/>
          <w:szCs w:val="21"/>
          <w14:textFill>
            <w14:solidFill>
              <w14:schemeClr w14:val="tx1">
                <w14:lumMod w14:val="85000"/>
                <w14:lumOff w14:val="15000"/>
              </w14:schemeClr>
            </w14:solidFill>
          </w14:textFill>
        </w:rPr>
        <w:t>公告序号：NCGC202502</w:t>
      </w:r>
    </w:p>
    <w:p w14:paraId="414A0A40">
      <w:pPr>
        <w:spacing w:line="360" w:lineRule="exact"/>
        <w:ind w:firstLine="428" w:firstLineChars="204"/>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14:paraId="6D72A46F">
      <w:pPr>
        <w:spacing w:line="360" w:lineRule="exact"/>
        <w:ind w:firstLine="428" w:firstLineChars="204"/>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重庆市</w:t>
      </w:r>
      <w:r>
        <w:rPr>
          <w:rFonts w:hint="eastAsia" w:ascii="Times New Roman" w:hAnsi="Times New Roman" w:eastAsia="方正仿宋_GBK" w:cs="Times New Roman"/>
          <w:color w:val="262626" w:themeColor="text1" w:themeTint="D9"/>
          <w:sz w:val="22"/>
          <w:u w:val="none"/>
          <w:lang w:eastAsia="zh-CN"/>
          <w14:textFill>
            <w14:solidFill>
              <w14:schemeClr w14:val="tx1">
                <w14:lumMod w14:val="85000"/>
                <w14:lumOff w14:val="15000"/>
              </w14:schemeClr>
            </w14:solidFill>
          </w14:textFill>
        </w:rPr>
        <w:t>南川区</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规划和自然资源局决定公开拍卖出让以下采矿权，并委托重庆市公共资源交易中心负责公开出让交易环节的组织实施，本次公开出让的采矿权采用网上交易方式。</w:t>
      </w:r>
    </w:p>
    <w:p w14:paraId="700C232C">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一、出让采矿权基本情况</w:t>
      </w:r>
    </w:p>
    <w:p w14:paraId="543EC399">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（一）公告时间：</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月</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日-</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28</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日；</w:t>
      </w:r>
    </w:p>
    <w:p w14:paraId="3EF3516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（二）采矿权名称（暂定名）：</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南川区大有镇大一村建筑石料用灰岩矿</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0B32A2A0">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（三）矿山地址：</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重庆市南川区大有镇大一社区居民委员会第四居民小组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01A487D6">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（四）矿区面积：0.0764</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平方公里</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267AB2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（五）开采标高：+936</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米至</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+860</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米</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39AED20">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（六）开采矿种：</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建筑石料用灰岩</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4BE28F0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（七）资源储量：771.3</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万吨</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1909B16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（八）拟</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建设</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生产规模：100</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万吨</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700D0150">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（九）出让年限：6.6</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24B0975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（十）出让收益起始价：2792.11</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万元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7AAB627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（十一）矿区范围坐标（2000坐标系）：</w:t>
      </w:r>
    </w:p>
    <w:tbl>
      <w:tblPr>
        <w:tblStyle w:val="7"/>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14:paraId="34EB9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6B1DAC80">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拐点</w:t>
            </w:r>
          </w:p>
        </w:tc>
        <w:tc>
          <w:tcPr>
            <w:tcW w:w="1590" w:type="dxa"/>
            <w:vAlign w:val="center"/>
          </w:tcPr>
          <w:p w14:paraId="11C01E5D">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X</w:t>
            </w:r>
          </w:p>
        </w:tc>
        <w:tc>
          <w:tcPr>
            <w:tcW w:w="1701" w:type="dxa"/>
            <w:vAlign w:val="center"/>
          </w:tcPr>
          <w:p w14:paraId="5AFF49E6">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Y</w:t>
            </w:r>
          </w:p>
        </w:tc>
        <w:tc>
          <w:tcPr>
            <w:tcW w:w="949" w:type="dxa"/>
            <w:vAlign w:val="center"/>
          </w:tcPr>
          <w:p w14:paraId="3B8680A4">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拐点</w:t>
            </w:r>
          </w:p>
        </w:tc>
        <w:tc>
          <w:tcPr>
            <w:tcW w:w="1547" w:type="dxa"/>
            <w:vAlign w:val="center"/>
          </w:tcPr>
          <w:p w14:paraId="04718649">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X</w:t>
            </w:r>
          </w:p>
        </w:tc>
        <w:tc>
          <w:tcPr>
            <w:tcW w:w="1701" w:type="dxa"/>
            <w:vAlign w:val="center"/>
          </w:tcPr>
          <w:p w14:paraId="15E6464A">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Y</w:t>
            </w:r>
          </w:p>
        </w:tc>
      </w:tr>
      <w:tr w14:paraId="5D689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E87636C">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p>
        </w:tc>
        <w:tc>
          <w:tcPr>
            <w:tcW w:w="1590" w:type="dxa"/>
            <w:vAlign w:val="top"/>
          </w:tcPr>
          <w:p w14:paraId="37716CAF">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3205847.973</w:t>
            </w:r>
          </w:p>
        </w:tc>
        <w:tc>
          <w:tcPr>
            <w:tcW w:w="1701" w:type="dxa"/>
            <w:vAlign w:val="top"/>
          </w:tcPr>
          <w:p w14:paraId="6E7F23E1">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36435498.560 </w:t>
            </w:r>
          </w:p>
        </w:tc>
        <w:tc>
          <w:tcPr>
            <w:tcW w:w="949" w:type="dxa"/>
            <w:vAlign w:val="center"/>
          </w:tcPr>
          <w:p w14:paraId="779F947D">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8</w:t>
            </w:r>
          </w:p>
        </w:tc>
        <w:tc>
          <w:tcPr>
            <w:tcW w:w="1547" w:type="dxa"/>
            <w:vAlign w:val="top"/>
          </w:tcPr>
          <w:p w14:paraId="477B2D61">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3205519.934 </w:t>
            </w:r>
          </w:p>
        </w:tc>
        <w:tc>
          <w:tcPr>
            <w:tcW w:w="1701" w:type="dxa"/>
            <w:vAlign w:val="top"/>
          </w:tcPr>
          <w:p w14:paraId="5D0885E7">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36435530.737 </w:t>
            </w:r>
          </w:p>
        </w:tc>
      </w:tr>
      <w:tr w14:paraId="32932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449EED28">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w:t>
            </w:r>
          </w:p>
        </w:tc>
        <w:tc>
          <w:tcPr>
            <w:tcW w:w="1590" w:type="dxa"/>
            <w:vAlign w:val="top"/>
          </w:tcPr>
          <w:p w14:paraId="709D07DE">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3205848.989</w:t>
            </w:r>
          </w:p>
        </w:tc>
        <w:tc>
          <w:tcPr>
            <w:tcW w:w="1701" w:type="dxa"/>
            <w:vAlign w:val="top"/>
          </w:tcPr>
          <w:p w14:paraId="06A089B7">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36435520.965 </w:t>
            </w:r>
          </w:p>
        </w:tc>
        <w:tc>
          <w:tcPr>
            <w:tcW w:w="949" w:type="dxa"/>
            <w:vAlign w:val="center"/>
          </w:tcPr>
          <w:p w14:paraId="7280DAC0">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9</w:t>
            </w:r>
          </w:p>
        </w:tc>
        <w:tc>
          <w:tcPr>
            <w:tcW w:w="1547" w:type="dxa"/>
            <w:vAlign w:val="top"/>
          </w:tcPr>
          <w:p w14:paraId="2E3FBDB5">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3205504.003 </w:t>
            </w:r>
          </w:p>
        </w:tc>
        <w:tc>
          <w:tcPr>
            <w:tcW w:w="1701" w:type="dxa"/>
            <w:vAlign w:val="top"/>
          </w:tcPr>
          <w:p w14:paraId="2458FC23">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36435461.626 </w:t>
            </w:r>
          </w:p>
        </w:tc>
      </w:tr>
      <w:tr w14:paraId="5722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28770E2C">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w:t>
            </w:r>
          </w:p>
        </w:tc>
        <w:tc>
          <w:tcPr>
            <w:tcW w:w="1590" w:type="dxa"/>
            <w:vAlign w:val="top"/>
          </w:tcPr>
          <w:p w14:paraId="73A909E1">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3205814.876</w:t>
            </w:r>
          </w:p>
        </w:tc>
        <w:tc>
          <w:tcPr>
            <w:tcW w:w="1701" w:type="dxa"/>
            <w:vAlign w:val="top"/>
          </w:tcPr>
          <w:p w14:paraId="4F761C02">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36435651.497 </w:t>
            </w:r>
          </w:p>
        </w:tc>
        <w:tc>
          <w:tcPr>
            <w:tcW w:w="949" w:type="dxa"/>
            <w:vAlign w:val="center"/>
          </w:tcPr>
          <w:p w14:paraId="4778653B">
            <w:pPr>
              <w:widowControl/>
              <w:spacing w:line="360" w:lineRule="exact"/>
              <w:jc w:val="center"/>
              <w:textAlignment w:val="center"/>
              <w:rPr>
                <w:rFonts w:hint="default" w:ascii="Times New Roman" w:hAnsi="Times New Roman" w:eastAsia="方正仿宋_GBK" w:cs="Times New Roman"/>
                <w:color w:val="262626" w:themeColor="text1" w:themeTint="D9"/>
                <w:kern w:val="0"/>
                <w:szCs w:val="21"/>
                <w:lang w:val="en-US"/>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10</w:t>
            </w:r>
          </w:p>
        </w:tc>
        <w:tc>
          <w:tcPr>
            <w:tcW w:w="1547" w:type="dxa"/>
            <w:vAlign w:val="top"/>
          </w:tcPr>
          <w:p w14:paraId="31DA35D2">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3205456.000 </w:t>
            </w:r>
          </w:p>
        </w:tc>
        <w:tc>
          <w:tcPr>
            <w:tcW w:w="1701" w:type="dxa"/>
            <w:vAlign w:val="top"/>
          </w:tcPr>
          <w:p w14:paraId="3F44927B">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36435355.502 </w:t>
            </w:r>
          </w:p>
        </w:tc>
      </w:tr>
      <w:tr w14:paraId="2DBC3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FBECB5F">
            <w:pPr>
              <w:widowControl/>
              <w:spacing w:line="360" w:lineRule="exact"/>
              <w:jc w:val="center"/>
              <w:textAlignment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w:t>
            </w:r>
          </w:p>
        </w:tc>
        <w:tc>
          <w:tcPr>
            <w:tcW w:w="1590" w:type="dxa"/>
            <w:vAlign w:val="top"/>
          </w:tcPr>
          <w:p w14:paraId="527FB0ED">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3205770.096</w:t>
            </w:r>
          </w:p>
        </w:tc>
        <w:tc>
          <w:tcPr>
            <w:tcW w:w="1701" w:type="dxa"/>
            <w:vAlign w:val="top"/>
          </w:tcPr>
          <w:p w14:paraId="6772C5FF">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36435664.383 </w:t>
            </w:r>
          </w:p>
        </w:tc>
        <w:tc>
          <w:tcPr>
            <w:tcW w:w="949" w:type="dxa"/>
            <w:vAlign w:val="center"/>
          </w:tcPr>
          <w:p w14:paraId="1B259761">
            <w:pPr>
              <w:widowControl/>
              <w:spacing w:line="360" w:lineRule="exact"/>
              <w:jc w:val="center"/>
              <w:textAlignment w:val="center"/>
              <w:rPr>
                <w:rFonts w:hint="default" w:ascii="Times New Roman" w:hAnsi="Times New Roman" w:eastAsia="方正仿宋_GBK" w:cs="Times New Roman"/>
                <w:color w:val="262626" w:themeColor="text1" w:themeTint="D9"/>
                <w:kern w:val="0"/>
                <w:szCs w:val="21"/>
                <w:lang w:val="en-US"/>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11</w:t>
            </w:r>
          </w:p>
        </w:tc>
        <w:tc>
          <w:tcPr>
            <w:tcW w:w="1547" w:type="dxa"/>
            <w:vAlign w:val="top"/>
          </w:tcPr>
          <w:p w14:paraId="26511775">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3205525.549 </w:t>
            </w:r>
          </w:p>
        </w:tc>
        <w:tc>
          <w:tcPr>
            <w:tcW w:w="1701" w:type="dxa"/>
            <w:vAlign w:val="top"/>
          </w:tcPr>
          <w:p w14:paraId="0E154394">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36435319.541 </w:t>
            </w:r>
          </w:p>
        </w:tc>
      </w:tr>
      <w:tr w14:paraId="52EA4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119C8FAE">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w:t>
            </w:r>
          </w:p>
        </w:tc>
        <w:tc>
          <w:tcPr>
            <w:tcW w:w="1590" w:type="dxa"/>
            <w:vAlign w:val="top"/>
          </w:tcPr>
          <w:p w14:paraId="69F068F2">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3205706.513</w:t>
            </w:r>
          </w:p>
        </w:tc>
        <w:tc>
          <w:tcPr>
            <w:tcW w:w="1701" w:type="dxa"/>
            <w:vAlign w:val="top"/>
          </w:tcPr>
          <w:p w14:paraId="64334C17">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36435562.285 </w:t>
            </w:r>
          </w:p>
        </w:tc>
        <w:tc>
          <w:tcPr>
            <w:tcW w:w="949" w:type="dxa"/>
            <w:vAlign w:val="center"/>
          </w:tcPr>
          <w:p w14:paraId="1EBB9F3D">
            <w:pPr>
              <w:widowControl/>
              <w:spacing w:line="360" w:lineRule="exact"/>
              <w:jc w:val="center"/>
              <w:textAlignment w:val="cente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12</w:t>
            </w:r>
          </w:p>
        </w:tc>
        <w:tc>
          <w:tcPr>
            <w:tcW w:w="1547" w:type="dxa"/>
            <w:vAlign w:val="top"/>
          </w:tcPr>
          <w:p w14:paraId="5EF45860">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3205557.353 </w:t>
            </w:r>
          </w:p>
        </w:tc>
        <w:tc>
          <w:tcPr>
            <w:tcW w:w="1701" w:type="dxa"/>
            <w:vAlign w:val="top"/>
          </w:tcPr>
          <w:p w14:paraId="618CBDBB">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36435262.528 </w:t>
            </w:r>
          </w:p>
        </w:tc>
      </w:tr>
      <w:tr w14:paraId="7AECE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23931D21">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w:t>
            </w:r>
          </w:p>
        </w:tc>
        <w:tc>
          <w:tcPr>
            <w:tcW w:w="1590" w:type="dxa"/>
            <w:vAlign w:val="top"/>
          </w:tcPr>
          <w:p w14:paraId="5772A617">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3205626.213</w:t>
            </w:r>
          </w:p>
        </w:tc>
        <w:tc>
          <w:tcPr>
            <w:tcW w:w="1701" w:type="dxa"/>
            <w:vAlign w:val="top"/>
          </w:tcPr>
          <w:p w14:paraId="72DED91B">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36435562.467 </w:t>
            </w:r>
          </w:p>
        </w:tc>
        <w:tc>
          <w:tcPr>
            <w:tcW w:w="949" w:type="dxa"/>
            <w:vAlign w:val="center"/>
          </w:tcPr>
          <w:p w14:paraId="260095A1">
            <w:pPr>
              <w:widowControl/>
              <w:spacing w:line="360" w:lineRule="exact"/>
              <w:jc w:val="center"/>
              <w:textAlignment w:val="cente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13</w:t>
            </w:r>
          </w:p>
        </w:tc>
        <w:tc>
          <w:tcPr>
            <w:tcW w:w="1547" w:type="dxa"/>
            <w:vAlign w:val="top"/>
          </w:tcPr>
          <w:p w14:paraId="6CA24E4F">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3205658.885 </w:t>
            </w:r>
          </w:p>
        </w:tc>
        <w:tc>
          <w:tcPr>
            <w:tcW w:w="1701" w:type="dxa"/>
            <w:vAlign w:val="top"/>
          </w:tcPr>
          <w:p w14:paraId="588F4A06">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36435332.442 </w:t>
            </w:r>
          </w:p>
        </w:tc>
      </w:tr>
      <w:tr w14:paraId="0683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2A60F8A">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7</w:t>
            </w:r>
          </w:p>
        </w:tc>
        <w:tc>
          <w:tcPr>
            <w:tcW w:w="1590" w:type="dxa"/>
            <w:vAlign w:val="top"/>
          </w:tcPr>
          <w:p w14:paraId="7F1A418A">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3205557.631</w:t>
            </w:r>
          </w:p>
        </w:tc>
        <w:tc>
          <w:tcPr>
            <w:tcW w:w="1701" w:type="dxa"/>
            <w:vAlign w:val="top"/>
          </w:tcPr>
          <w:p w14:paraId="5AA7C027">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36435509.364 </w:t>
            </w:r>
          </w:p>
        </w:tc>
        <w:tc>
          <w:tcPr>
            <w:tcW w:w="949" w:type="dxa"/>
            <w:vAlign w:val="center"/>
          </w:tcPr>
          <w:p w14:paraId="52594C17">
            <w:pPr>
              <w:widowControl/>
              <w:spacing w:line="360" w:lineRule="exact"/>
              <w:jc w:val="center"/>
              <w:textAlignment w:val="cente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14</w:t>
            </w:r>
          </w:p>
        </w:tc>
        <w:tc>
          <w:tcPr>
            <w:tcW w:w="1547" w:type="dxa"/>
            <w:vAlign w:val="top"/>
          </w:tcPr>
          <w:p w14:paraId="4C63A3F4">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3205741.858 </w:t>
            </w:r>
          </w:p>
        </w:tc>
        <w:tc>
          <w:tcPr>
            <w:tcW w:w="1701" w:type="dxa"/>
            <w:vAlign w:val="top"/>
          </w:tcPr>
          <w:p w14:paraId="6B3FFF11">
            <w:pPr>
              <w:widowControl/>
              <w:spacing w:line="360" w:lineRule="exact"/>
              <w:jc w:val="center"/>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sz w:val="21"/>
                <w:szCs w:val="21"/>
              </w:rPr>
              <w:t xml:space="preserve">36435394.858 </w:t>
            </w:r>
          </w:p>
        </w:tc>
      </w:tr>
    </w:tbl>
    <w:p w14:paraId="5F1AFA8E">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二、出让人、交易平台联系方式</w:t>
      </w:r>
    </w:p>
    <w:p w14:paraId="0FA47D15">
      <w:pPr>
        <w:spacing w:line="360" w:lineRule="exact"/>
        <w:ind w:firstLine="420" w:firstLineChars="200"/>
        <w:rPr>
          <w:rFonts w:ascii="Times New Roman" w:hAnsi="Times New Roman" w:eastAsia="方正楷体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（一）出让人</w:t>
      </w:r>
    </w:p>
    <w:p w14:paraId="2EBA3440">
      <w:pPr>
        <w:spacing w:line="360" w:lineRule="exact"/>
        <w:ind w:firstLine="420" w:firstLineChars="200"/>
        <w:rPr>
          <w:rFonts w:ascii="Times New Roman" w:hAnsi="Times New Roman" w:eastAsia="方正仿宋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本宗采矿权出让人为</w:t>
      </w:r>
      <w:r>
        <w:rPr>
          <w:rFonts w:hint="eastAsia" w:ascii="Times New Roman" w:hAnsi="Times New Roman" w:eastAsia="方正仿宋_GBK" w:cs="Times New Roman"/>
          <w:color w:val="262626" w:themeColor="text1" w:themeTint="D9"/>
          <w:kern w:val="0"/>
          <w:szCs w:val="21"/>
          <w:lang w:val="en-US" w:eastAsia="zh-CN"/>
          <w14:textFill>
            <w14:solidFill>
              <w14:schemeClr w14:val="tx1">
                <w14:lumMod w14:val="85000"/>
                <w14:lumOff w14:val="15000"/>
              </w14:schemeClr>
            </w14:solidFill>
          </w14:textFill>
        </w:rPr>
        <w:t>重庆市</w:t>
      </w:r>
      <w:r>
        <w:rPr>
          <w:rFonts w:hint="eastAsia" w:ascii="Times New Roman" w:hAnsi="Times New Roman" w:eastAsia="方正仿宋_GBK" w:cs="Times New Roman"/>
          <w:color w:val="262626" w:themeColor="text1" w:themeTint="D9"/>
          <w:kern w:val="0"/>
          <w:szCs w:val="21"/>
          <w:u w:val="none"/>
          <w:lang w:val="en-US" w:eastAsia="zh-CN"/>
          <w14:textFill>
            <w14:solidFill>
              <w14:schemeClr w14:val="tx1">
                <w14:lumMod w14:val="85000"/>
                <w14:lumOff w14:val="15000"/>
              </w14:schemeClr>
            </w14:solidFill>
          </w14:textFill>
        </w:rPr>
        <w:t>南川区</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规划和自然资源局。</w:t>
      </w:r>
    </w:p>
    <w:p w14:paraId="12550D77">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地址：</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重庆市南川区南大街</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89</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号</w:t>
      </w:r>
    </w:p>
    <w:p w14:paraId="405205FE">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联系人：</w:t>
      </w:r>
      <w:r>
        <w:rPr>
          <w:rFonts w:hint="eastAsia" w:ascii="Times New Roman" w:hAnsi="Times New Roman" w:eastAsia="方正仿宋_GBK" w:cs="Times New Roman"/>
          <w:color w:val="262626" w:themeColor="text1" w:themeTint="D9"/>
          <w:sz w:val="22"/>
          <w:u w:val="none"/>
          <w:lang w:eastAsia="zh-CN"/>
          <w14:textFill>
            <w14:solidFill>
              <w14:schemeClr w14:val="tx1">
                <w14:lumMod w14:val="85000"/>
                <w14:lumOff w14:val="15000"/>
              </w14:schemeClr>
            </w14:solidFill>
          </w14:textFill>
        </w:rPr>
        <w:t>杨老师</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，联系电话</w:t>
      </w:r>
      <w: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023-71420530</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w:t>
      </w:r>
    </w:p>
    <w:p w14:paraId="5B6ADA32">
      <w:pPr>
        <w:spacing w:line="360" w:lineRule="exact"/>
        <w:ind w:firstLine="420" w:firstLineChars="200"/>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（二）交易平台</w:t>
      </w:r>
    </w:p>
    <w:p w14:paraId="072CEE64">
      <w:pPr>
        <w:spacing w:line="360" w:lineRule="exact"/>
        <w:ind w:firstLine="420" w:firstLineChars="200"/>
        <w:rPr>
          <w:rFonts w:ascii="Times New Roman" w:hAnsi="Times New Roman" w:eastAsia="方正仿宋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本宗采矿权交易平台为重庆市公共资源交易中心。</w:t>
      </w:r>
    </w:p>
    <w:p w14:paraId="5EBD649E">
      <w:pPr>
        <w:spacing w:line="360" w:lineRule="exact"/>
        <w:ind w:firstLine="420" w:firstLineChars="200"/>
        <w:rPr>
          <w:rFonts w:hint="eastAsia" w:ascii="Times New Roman" w:hAnsi="Times New Roman" w:eastAsia="方正仿宋_GBK" w:cs="Times New Roman"/>
          <w:color w:val="262626" w:themeColor="text1" w:themeTint="D9"/>
          <w:kern w:val="0"/>
          <w:szCs w:val="21"/>
          <w:lang w:eastAsia="zh-CN"/>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地址：</w:t>
      </w:r>
      <w:r>
        <w:rPr>
          <w:rFonts w:hint="eastAsia" w:ascii="Times New Roman" w:hAnsi="Times New Roman" w:eastAsia="方正仿宋_GBK" w:cs="Times New Roman"/>
          <w:color w:val="262626" w:themeColor="text1" w:themeTint="D9"/>
          <w:kern w:val="0"/>
          <w:szCs w:val="21"/>
          <w:lang w:eastAsia="zh-CN"/>
          <w14:textFill>
            <w14:solidFill>
              <w14:schemeClr w14:val="tx1">
                <w14:lumMod w14:val="85000"/>
                <w14:lumOff w14:val="15000"/>
              </w14:schemeClr>
            </w14:solidFill>
          </w14:textFill>
        </w:rPr>
        <w:t>重庆市江北区永平门街14号8-1</w:t>
      </w:r>
    </w:p>
    <w:p w14:paraId="2C344033">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联系人：王老师，联系电话</w:t>
      </w:r>
      <w:r>
        <w:rPr>
          <w:rFonts w:hint="eastAsia" w:ascii="Times New Roman" w:hAnsi="Times New Roman" w:eastAsia="方正仿宋_GBK" w:cs="Times New Roman"/>
          <w:color w:val="262626" w:themeColor="text1" w:themeTint="D9"/>
          <w:kern w:val="0"/>
          <w:szCs w:val="21"/>
          <w:lang w:eastAsia="zh-CN"/>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023-63628117。</w:t>
      </w:r>
    </w:p>
    <w:p w14:paraId="240552C9">
      <w:pPr>
        <w:spacing w:line="360" w:lineRule="exact"/>
        <w:ind w:firstLine="420" w:firstLineChars="200"/>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（三）</w:t>
      </w:r>
      <w:r>
        <w:rPr>
          <w:rFonts w:hint="eastAsia"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实体</w:t>
      </w: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CA 证书办理</w:t>
      </w:r>
    </w:p>
    <w:p w14:paraId="10137188">
      <w:pPr>
        <w:pStyle w:val="6"/>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申请人可在重庆市公共资源交易网CA互认与办理专栏（网址：https://www.cqggzy.com/035/CAenter.html）按照办理须知办理实体CA证书。</w:t>
      </w:r>
    </w:p>
    <w:p w14:paraId="2E78A7D4">
      <w:pPr>
        <w:pStyle w:val="3"/>
        <w:spacing w:line="360" w:lineRule="exact"/>
        <w:ind w:left="0" w:firstLine="420" w:firstLineChars="200"/>
        <w:rPr>
          <w:rFonts w:ascii="Times New Roman" w:hAnsi="Times New Roman" w:eastAsia="方正仿宋_GBK" w:cs="Times New Roman"/>
          <w:color w:val="262626" w:themeColor="text1" w:themeTint="D9"/>
          <w:sz w:val="21"/>
          <w:szCs w:val="21"/>
          <w:lang w:eastAsia="zh-CN"/>
          <w14:textFill>
            <w14:solidFill>
              <w14:schemeClr w14:val="tx1">
                <w14:lumMod w14:val="85000"/>
                <w14:lumOff w14:val="15000"/>
              </w14:schemeClr>
            </w14:solidFill>
          </w14:textFill>
        </w:rPr>
      </w:pPr>
      <w:r>
        <w:rPr>
          <w:rFonts w:ascii="Times New Roman" w:hAnsi="Times New Roman" w:eastAsia="方正仿宋_GBK" w:cs="Times New Roman"/>
          <w:color w:val="000000" w:themeColor="text1"/>
          <w:sz w:val="21"/>
          <w:szCs w:val="21"/>
          <w:lang w:eastAsia="zh-CN"/>
          <w14:textFill>
            <w14:solidFill>
              <w14:schemeClr w14:val="tx1"/>
            </w14:solidFill>
          </w14:textFill>
        </w:rPr>
        <w:t>申请人应妥善保管CA数字证书及其密码，如CA数字证书遗失或者损毁、遗忘或者泄露密码，应及时办理挂失，并重新申领。申请人登记信息有变化的，应及时进行信息变更。</w:t>
      </w:r>
    </w:p>
    <w:p w14:paraId="6356EF6F">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三、竞买申请人准入条件</w:t>
      </w:r>
    </w:p>
    <w:p w14:paraId="7336A1C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（一）竞买申请人须为营利法人；</w:t>
      </w:r>
    </w:p>
    <w:p w14:paraId="14C4F40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（二）竞买申请人属于以下情形之一的不得参与竞买：</w:t>
      </w:r>
    </w:p>
    <w:p w14:paraId="6EA5B2F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在全国矿业权人勘查开采信息管理系统的“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矿业权人异常名录</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矿业权严重失信主体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内的；</w:t>
      </w:r>
    </w:p>
    <w:p w14:paraId="2D20359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2.通过</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信用中国</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查询，在自然资源部联合惩戒备忘录或重庆市信用惩戒严重失信主体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黑名单</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内限制禁止参与矿业权出让的；</w:t>
      </w:r>
    </w:p>
    <w:p w14:paraId="013FD94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3.被吊销采矿许可证且自吊销之日起未满2年的。</w:t>
      </w:r>
    </w:p>
    <w:p w14:paraId="7976E7BF">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四、网上报名申请</w:t>
      </w:r>
    </w:p>
    <w:p w14:paraId="442DDC2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本次公开出让的采矿权采取</w:t>
      </w: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网上报名</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方式：</w:t>
      </w:r>
    </w:p>
    <w:p w14:paraId="5CC8B8A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（一）报名时限：</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月</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日</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时-</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28</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日</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17</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时</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3F9EE16">
      <w:pPr>
        <w:wordWrap w:val="0"/>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（二）资料获取：</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申请人应在报名期限内登录</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重庆市公共资源交易中心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https://td.cqggzy.com/），查阅、下载出让资料。</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fldChar w:fldCharType="end"/>
      </w:r>
    </w:p>
    <w:p w14:paraId="69A022B6">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（三）申请资料</w:t>
      </w:r>
    </w:p>
    <w:p w14:paraId="75BE0830">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1.《竞买申请书》（原件1份）（附件</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1</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4151A89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2.工商营业执照副本（复印件1份）；</w:t>
      </w:r>
    </w:p>
    <w:p w14:paraId="7271CDC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3.法人身份证明（复印件1份）；</w:t>
      </w:r>
    </w:p>
    <w:p w14:paraId="6395F11A">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4.法人不能亲自参加的应提供《授权委托书》（原件1份）（附件</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64F2DF7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5.受托人身份证明（复印件1份）；</w:t>
      </w:r>
    </w:p>
    <w:p w14:paraId="3F829FD4">
      <w:pPr>
        <w:spacing w:line="360" w:lineRule="exact"/>
        <w:ind w:firstLine="420" w:firstLineChars="200"/>
        <w:rPr>
          <w:rFonts w:ascii="Times New Roman" w:hAnsi="Times New Roman" w:eastAsia="方正仿宋_GBK" w:cs="Times New Roman"/>
          <w:i/>
          <w:color w:val="262626" w:themeColor="text1" w:themeTint="D9"/>
          <w:szCs w:val="21"/>
          <w:u w:val="singl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6.竞买申请人签署意见的《出让文件》（原件1份）。</w:t>
      </w:r>
    </w:p>
    <w:p w14:paraId="5041F8D5">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（四）网上报名</w:t>
      </w:r>
    </w:p>
    <w:p w14:paraId="23BBCE07">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1B9C233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CA证书办理机构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71DB781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31ADC79B">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（五）保证金的交纳及相关规定</w:t>
      </w:r>
    </w:p>
    <w:p w14:paraId="6C31288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1.竞买保证金由申请人自行支付，不得代交。</w:t>
      </w:r>
    </w:p>
    <w:p w14:paraId="67A84767">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57DE05B7">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申请人每次提交竞买申请及交纳竞买保证金只对应一宗采矿权，如申请人同时竞买多宗采矿权的，应分别提交申请并按时足额交纳竞买保证金。</w:t>
      </w:r>
    </w:p>
    <w:p w14:paraId="3273EB75">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3.申请人应于报名期限内交纳竞买保证金人民币279.211</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万元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（大写</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贰佰柒拾玖万贰仟壹佰壹拾元整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），竞买保证金交纳时间以银行确认的到账时间为准。竞买保证金到账截止时间为：</w:t>
      </w:r>
      <w:r>
        <w:rPr>
          <w:rFonts w:hint="eastAsia" w:ascii="Times New Roman" w:hAnsi="Times New Roman" w:eastAsia="方正仿宋_GBK" w:cs="Times New Roman"/>
          <w:iCs/>
          <w:color w:val="262626" w:themeColor="text1" w:themeTint="D9"/>
          <w:szCs w:val="21"/>
          <w:u w:val="none"/>
          <w:lang w:eastAsia="zh-CN"/>
          <w14:textFill>
            <w14:solidFill>
              <w14:schemeClr w14:val="tx1">
                <w14:lumMod w14:val="85000"/>
                <w14:lumOff w14:val="15000"/>
              </w14:schemeClr>
            </w14:solidFill>
          </w14:textFill>
        </w:rPr>
        <w:t>2025年</w:t>
      </w:r>
      <w:r>
        <w:rPr>
          <w:rFonts w:hint="default" w:ascii="Times New Roman" w:hAnsi="Times New Roman" w:eastAsia="方正仿宋_GBK" w:cs="Times New Roman"/>
          <w:iCs/>
          <w:color w:val="262626" w:themeColor="text1" w:themeTint="D9"/>
          <w:szCs w:val="21"/>
          <w:u w:val="none"/>
          <w:lang w:val="en-US"/>
          <w14:textFill>
            <w14:solidFill>
              <w14:schemeClr w14:val="tx1">
                <w14:lumMod w14:val="85000"/>
                <w14:lumOff w14:val="15000"/>
              </w14:schemeClr>
            </w14:solidFill>
          </w14:textFill>
        </w:rPr>
        <w:t>9</w:t>
      </w:r>
      <w:r>
        <w:rPr>
          <w:rFonts w:ascii="Times New Roman" w:hAnsi="Times New Roman" w:eastAsia="方正仿宋_GBK" w:cs="Times New Roman"/>
          <w:iCs/>
          <w:color w:val="262626" w:themeColor="text1" w:themeTint="D9"/>
          <w:szCs w:val="21"/>
          <w:u w:val="none"/>
          <w14:textFill>
            <w14:solidFill>
              <w14:schemeClr w14:val="tx1">
                <w14:lumMod w14:val="85000"/>
                <w14:lumOff w14:val="15000"/>
              </w14:schemeClr>
            </w14:solidFill>
          </w14:textFill>
        </w:rPr>
        <w:t>月</w:t>
      </w:r>
      <w:r>
        <w:rPr>
          <w:rFonts w:hint="eastAsia" w:ascii="Times New Roman" w:hAnsi="Times New Roman" w:eastAsia="方正仿宋_GBK" w:cs="Times New Roman"/>
          <w:iCs/>
          <w:color w:val="262626" w:themeColor="text1" w:themeTint="D9"/>
          <w:szCs w:val="21"/>
          <w:u w:val="none"/>
          <w:lang w:val="en-US" w:eastAsia="zh-CN"/>
          <w14:textFill>
            <w14:solidFill>
              <w14:schemeClr w14:val="tx1">
                <w14:lumMod w14:val="85000"/>
                <w14:lumOff w14:val="15000"/>
              </w14:schemeClr>
            </w14:solidFill>
          </w14:textFill>
        </w:rPr>
        <w:t>28</w:t>
      </w:r>
      <w:r>
        <w:rPr>
          <w:rFonts w:ascii="Times New Roman" w:hAnsi="Times New Roman" w:eastAsia="方正仿宋_GBK" w:cs="Times New Roman"/>
          <w:iCs/>
          <w:color w:val="262626" w:themeColor="text1" w:themeTint="D9"/>
          <w:szCs w:val="21"/>
          <w:u w:val="none"/>
          <w14:textFill>
            <w14:solidFill>
              <w14:schemeClr w14:val="tx1">
                <w14:lumMod w14:val="85000"/>
                <w14:lumOff w14:val="15000"/>
              </w14:schemeClr>
            </w14:solidFill>
          </w14:textFill>
        </w:rPr>
        <w:t>日</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17:00。</w:t>
      </w:r>
    </w:p>
    <w:p w14:paraId="2A29262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为避免因竞买保证金到账时间延误，影响申请人顺利获取交易竞买资格，建议申请人在报名期限截止时间的1日前交纳竞买保证金。</w:t>
      </w:r>
    </w:p>
    <w:p w14:paraId="73F2918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4.保证金账户只接受银行转账或电汇方式，不接受现金或现金汇款。</w:t>
      </w:r>
    </w:p>
    <w:p w14:paraId="32228EA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5.申请人在规定时间内足额交纳了竞买保证金至指定账户的（以保证金到达指定账户时间为准），重庆市国有建设用地使用权和矿业权网上交易系统将自动颁发《保证金到账确认书》。</w:t>
      </w:r>
    </w:p>
    <w:p w14:paraId="0F76A6E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如未竞得，在成交日之后1个工作日内退还保证金及银行同期活期存款利息。</w:t>
      </w:r>
    </w:p>
    <w:p w14:paraId="56F26B3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（六）网上报名资格审核相关程序：</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049A7A14">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五、确定竞得人的标准和方法</w:t>
      </w:r>
    </w:p>
    <w:p w14:paraId="5C4F511B">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（一）网上</w:t>
      </w:r>
      <w:r>
        <w:rPr>
          <w:rFonts w:hint="eastAsia"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拍卖时间：</w:t>
      </w:r>
      <w:r>
        <w:rPr>
          <w:rFonts w:hint="eastAsia" w:ascii="Times New Roman" w:hAnsi="Times New Roman" w:eastAsia="方正仿宋_GBK" w:cs="Times New Roman"/>
          <w:color w:val="262626" w:themeColor="text1" w:themeTint="D9"/>
          <w:kern w:val="0"/>
          <w:szCs w:val="21"/>
          <w:u w:val="none"/>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29</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日</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10</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时</w:t>
      </w:r>
    </w:p>
    <w:p w14:paraId="1ECB9751">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（二）网上拍卖交易：</w:t>
      </w:r>
    </w:p>
    <w:p w14:paraId="5C83E2CA">
      <w:pPr>
        <w:spacing w:line="360" w:lineRule="exact"/>
        <w:ind w:firstLine="420" w:firstLineChars="200"/>
        <w:rPr>
          <w:rFonts w:ascii="Times New Roman" w:hAnsi="Times New Roman" w:eastAsia="方正仿宋_GBK" w:cs="Times New Roman"/>
          <w:color w:val="262626" w:themeColor="text1" w:themeTint="D9"/>
          <w:kern w:val="0"/>
          <w:szCs w:val="21"/>
          <w:highlight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1.本次网上拍卖出让未设置底价，采用网上增价报</w:t>
      </w:r>
      <w:r>
        <w:rPr>
          <w:rFonts w:ascii="Times New Roman" w:hAnsi="Times New Roman" w:eastAsia="方正仿宋_GBK" w:cs="Times New Roman"/>
          <w:color w:val="262626" w:themeColor="text1" w:themeTint="D9"/>
          <w:kern w:val="0"/>
          <w:szCs w:val="21"/>
          <w:highlight w:val="none"/>
          <w14:textFill>
            <w14:solidFill>
              <w14:schemeClr w14:val="tx1">
                <w14:lumMod w14:val="85000"/>
                <w14:lumOff w14:val="15000"/>
              </w14:schemeClr>
            </w14:solidFill>
          </w14:textFill>
        </w:rPr>
        <w:t>价的方式，</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起拍价为出让收益起始价，</w:t>
      </w:r>
      <w:r>
        <w:rPr>
          <w:rFonts w:ascii="Times New Roman" w:hAnsi="Times New Roman" w:eastAsia="方正仿宋_GBK" w:cs="Times New Roman"/>
          <w:color w:val="262626" w:themeColor="text1" w:themeTint="D9"/>
          <w:kern w:val="0"/>
          <w:szCs w:val="21"/>
          <w:highlight w:val="none"/>
          <w14:textFill>
            <w14:solidFill>
              <w14:schemeClr w14:val="tx1">
                <w14:lumMod w14:val="85000"/>
                <w14:lumOff w14:val="15000"/>
              </w14:schemeClr>
            </w14:solidFill>
          </w14:textFill>
        </w:rPr>
        <w:t>增</w:t>
      </w:r>
      <w:r>
        <w:rPr>
          <w:rFonts w:hint="eastAsia" w:ascii="Times New Roman" w:hAnsi="Times New Roman" w:eastAsia="方正仿宋_GBK" w:cs="Times New Roman"/>
          <w:color w:val="262626" w:themeColor="text1" w:themeTint="D9"/>
          <w:kern w:val="0"/>
          <w:szCs w:val="21"/>
          <w:highlight w:val="none"/>
          <w:lang w:val="en-US" w:eastAsia="zh-CN"/>
          <w14:textFill>
            <w14:solidFill>
              <w14:schemeClr w14:val="tx1">
                <w14:lumMod w14:val="85000"/>
                <w14:lumOff w14:val="15000"/>
              </w14:schemeClr>
            </w14:solidFill>
          </w14:textFill>
        </w:rPr>
        <w:t>加</w:t>
      </w:r>
      <w:r>
        <w:rPr>
          <w:rFonts w:ascii="Times New Roman" w:hAnsi="Times New Roman" w:eastAsia="方正仿宋_GBK" w:cs="Times New Roman"/>
          <w:color w:val="262626" w:themeColor="text1" w:themeTint="D9"/>
          <w:kern w:val="0"/>
          <w:szCs w:val="21"/>
          <w:highlight w:val="none"/>
          <w14:textFill>
            <w14:solidFill>
              <w14:schemeClr w14:val="tx1">
                <w14:lumMod w14:val="85000"/>
                <w14:lumOff w14:val="15000"/>
              </w14:schemeClr>
            </w14:solidFill>
          </w14:textFill>
        </w:rPr>
        <w:t>幅度为</w:t>
      </w:r>
      <w:r>
        <w:rPr>
          <w:rFonts w:hint="default" w:ascii="Times New Roman" w:hAnsi="Times New Roman" w:eastAsia="方正仿宋_GBK" w:cs="Times New Roman"/>
          <w:color w:val="262626" w:themeColor="text1" w:themeTint="D9"/>
          <w:kern w:val="0"/>
          <w:szCs w:val="21"/>
          <w:highlight w:val="none"/>
          <w:u w:val="none"/>
          <w:lang w:val="en-US" w:eastAsia="zh-CN"/>
          <w14:textFill>
            <w14:solidFill>
              <w14:schemeClr w14:val="tx1">
                <w14:lumMod w14:val="85000"/>
                <w14:lumOff w14:val="15000"/>
              </w14:schemeClr>
            </w14:solidFill>
          </w14:textFill>
        </w:rPr>
        <w:t>10</w:t>
      </w:r>
      <w:r>
        <w:rPr>
          <w:rFonts w:ascii="Times New Roman" w:hAnsi="Times New Roman" w:eastAsia="方正仿宋_GBK" w:cs="Times New Roman"/>
          <w:color w:val="262626" w:themeColor="text1" w:themeTint="D9"/>
          <w:kern w:val="0"/>
          <w:szCs w:val="21"/>
          <w:highlight w:val="none"/>
          <w:u w:val="none"/>
          <w14:textFill>
            <w14:solidFill>
              <w14:schemeClr w14:val="tx1">
                <w14:lumMod w14:val="85000"/>
                <w14:lumOff w14:val="15000"/>
              </w14:schemeClr>
            </w14:solidFill>
          </w14:textFill>
        </w:rPr>
        <w:t>万元或</w:t>
      </w:r>
      <w:r>
        <w:rPr>
          <w:rFonts w:hint="default" w:ascii="Times New Roman" w:hAnsi="Times New Roman" w:eastAsia="方正仿宋_GBK" w:cs="Times New Roman"/>
          <w:color w:val="262626" w:themeColor="text1" w:themeTint="D9"/>
          <w:kern w:val="0"/>
          <w:szCs w:val="21"/>
          <w:highlight w:val="none"/>
          <w:u w:val="none"/>
          <w:lang w:val="en-US" w:eastAsia="zh-CN"/>
          <w14:textFill>
            <w14:solidFill>
              <w14:schemeClr w14:val="tx1">
                <w14:lumMod w14:val="85000"/>
                <w14:lumOff w14:val="15000"/>
              </w14:schemeClr>
            </w14:solidFill>
          </w14:textFill>
        </w:rPr>
        <w:t>10</w:t>
      </w:r>
      <w:r>
        <w:rPr>
          <w:rFonts w:ascii="Times New Roman" w:hAnsi="Times New Roman" w:eastAsia="方正仿宋_GBK" w:cs="Times New Roman"/>
          <w:color w:val="262626" w:themeColor="text1" w:themeTint="D9"/>
          <w:kern w:val="0"/>
          <w:szCs w:val="21"/>
          <w:highlight w:val="none"/>
          <w14:textFill>
            <w14:solidFill>
              <w14:schemeClr w14:val="tx1">
                <w14:lumMod w14:val="85000"/>
                <w14:lumOff w14:val="15000"/>
              </w14:schemeClr>
            </w14:solidFill>
          </w14:textFill>
        </w:rPr>
        <w:t>万元的整数倍，按照价高者得原则确定竞得人。</w:t>
      </w:r>
    </w:p>
    <w:p w14:paraId="2F710252">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2.获得竞买资格的竞买人通过网上交易系统进行竞价。竞买人应当谨慎报价，报价一经提交，不得修改或撤回。</w:t>
      </w:r>
    </w:p>
    <w:p w14:paraId="768A7F45">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3.网上拍卖时</w:t>
      </w:r>
      <w: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网上交易系统以4分钟倒计时为竞价时限，若在4分钟倒计时内有新的报价，网上交易系统即从接受新的报价起再重新倒计时。若拍卖开始后，首个4分钟倒计时内均无人报价，则网上拍卖终止，采矿权不成交。</w:t>
      </w:r>
    </w:p>
    <w:p w14:paraId="6D5DF66B">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4.4分钟倒计时截止</w:t>
      </w:r>
      <w: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网上交易系统将不再接受新的报价，以最后一次报价为最终报价，网上交易系统自动判断竞价是否成功。</w:t>
      </w:r>
    </w:p>
    <w:p w14:paraId="5C867F36">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5.网上拍卖结束时，网上交易系统将自动关闭报价通道，并公布竞价结果同时网上交易系统将向竞</w:t>
      </w:r>
      <w:r>
        <w:rPr>
          <w:rFonts w:hint="eastAsia" w:ascii="Times New Roman" w:hAnsi="Times New Roman" w:eastAsia="方正仿宋_GBK" w:cs="Times New Roman"/>
          <w:color w:val="262626" w:themeColor="text1" w:themeTint="D9"/>
          <w:kern w:val="0"/>
          <w:szCs w:val="21"/>
          <w:lang w:val="en-US" w:eastAsia="zh-CN"/>
          <w14:textFill>
            <w14:solidFill>
              <w14:schemeClr w14:val="tx1">
                <w14:lumMod w14:val="85000"/>
                <w14:lumOff w14:val="15000"/>
              </w14:schemeClr>
            </w14:solidFill>
          </w14:textFill>
        </w:rPr>
        <w:t>得</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人自动核发《竞得入选人通知书》</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02DE973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（三）成交确认书签订：</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该宗采矿权网上交易实行竞买资格前审制度，竞得入选人须在竞价完成后2个工作日内持《</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竞得入选人通知书</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》及报名资料纸质件与重庆市公共资源交易中心签订《采矿权出让成交确认书》。</w:t>
      </w:r>
    </w:p>
    <w:p w14:paraId="1CA1BDE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（四）成交公示：</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拍卖成交后</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的竞得人按规定即时签订《成交确认书》，成交结果在相关网站公示10个工作日。</w:t>
      </w:r>
    </w:p>
    <w:p w14:paraId="7960B86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（五）网上拍卖程序及竞得方式按照《中华人民共和国拍卖法》及重庆市有关规定执行。</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如在拍卖程序中，本采矿权因监管部门要求需终止交易行为的，在告知竞买人后，退还采矿权竞买人已交纳的竞买保证金。</w:t>
      </w:r>
    </w:p>
    <w:p w14:paraId="051C8834">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六、出让收益的缴纳</w:t>
      </w:r>
    </w:p>
    <w:p w14:paraId="0488D452">
      <w:pPr>
        <w:spacing w:line="360" w:lineRule="exact"/>
        <w:ind w:firstLine="428" w:firstLineChars="204"/>
        <w:rPr>
          <w:rFonts w:hint="eastAsia"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该宗采矿权按照出让金额形式征收出让收益，出让收益首次征收比例为</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10%</w:t>
      </w:r>
      <w:r>
        <w:rPr>
          <w:rFonts w:hint="eastAsia"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，竞得人自愿一次性缴清的除外；剩余部分在采矿许可证有效期届满前按年度分期缴清，竞得人自愿减少分期缴纳年限的除外。</w:t>
      </w:r>
    </w:p>
    <w:p w14:paraId="1448A03B">
      <w:pPr>
        <w:spacing w:line="360" w:lineRule="exact"/>
        <w:ind w:firstLine="428" w:firstLineChars="204"/>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一次性缴纳和分期缴纳出让收益仅为缴款方式的选择，与采矿权人是否动用或实际动用资源储量无关，合同生效后，缴纳全部出让收益为采矿权人的义务。</w:t>
      </w:r>
    </w:p>
    <w:p w14:paraId="6AC5A455">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七、风险提示</w:t>
      </w:r>
    </w:p>
    <w:p w14:paraId="3FCBD7C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拟出让</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采矿权现状和出让文件已完全认可并自愿承担所有风险。</w:t>
      </w:r>
    </w:p>
    <w:p w14:paraId="36D21FE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（二）有关该宗采矿权的用地、用水、用电、公路、环保、基础设施等工作，由竞得人自行负责解决并依法完善相关手续。</w:t>
      </w:r>
    </w:p>
    <w:p w14:paraId="1FBBAAB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（三）若竞得人竞得该宗采矿权后，在办理采矿登记前进行安全、环境评价等认定为不适宜开采的，该宗采矿权按不成交处理。</w:t>
      </w:r>
    </w:p>
    <w:p w14:paraId="601E82E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（四）网络安全风险提示。申请人或竞得人网上报名行为所产生的法律后果，由申请人或竞得人自行承担。</w:t>
      </w:r>
    </w:p>
    <w:p w14:paraId="3398186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1.操作系统请使用Win10及以上；浏览器请使用Edge浏览器，其它操作系统与浏览器可能会影响申请人正常参与网上报名活动。因浏览器使用不当引致的后果由申请人自行承担；</w:t>
      </w:r>
    </w:p>
    <w:p w14:paraId="0DA03D5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2.申请人应妥善保管数字证书及其密码，凡在互联网使用数字证书登录交易系统所实施的行为，视为申请人的真实意思表示或经过申请人的合法授权，行为所产生的法律后果及责任由申请人自行承担。</w:t>
      </w:r>
    </w:p>
    <w:p w14:paraId="1BCE6B5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因网上交易系统出现故障，造成采矿权网上交易出现异常情况的，按照《重庆市国有建设用地使用权和矿业权网上交易应急处置暂行规定》的有关规定进行处置。</w:t>
      </w:r>
    </w:p>
    <w:p w14:paraId="3F7C2F95">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八、违约责任、公共资源交易领域失信联合惩戒相关提示</w:t>
      </w:r>
    </w:p>
    <w:p w14:paraId="035E9646">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5068E0D7">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14:paraId="7E4EF05A">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1.竞买人之间串通报价，损害国家利益、社会公共利益或者他人合法权益的；</w:t>
      </w:r>
    </w:p>
    <w:p w14:paraId="2CF4CEE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2.竞买人弄虚作假，骗取交易资格或竞得的；</w:t>
      </w:r>
    </w:p>
    <w:p w14:paraId="4047C0D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3.采取行贿或其他不正当手段竞得的；</w:t>
      </w:r>
    </w:p>
    <w:p w14:paraId="03B6441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4.竞得人逾期不签订或者拒绝签订成交确认书的；</w:t>
      </w:r>
    </w:p>
    <w:p w14:paraId="670A2D40">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5.竞得人逾期不签订或者拒绝签订出让合同的；</w:t>
      </w:r>
    </w:p>
    <w:p w14:paraId="1785FF9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6.其他依法应当认定为违约的情形。</w:t>
      </w:r>
    </w:p>
    <w:p w14:paraId="2D791CF0">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九、出让合同签订事宜说明</w:t>
      </w:r>
    </w:p>
    <w:p w14:paraId="41C0D2D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43206C1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1.采矿权出让合同签订申请书（原件1份）；</w:t>
      </w:r>
    </w:p>
    <w:p w14:paraId="12D75BA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2.采矿权成交确认书（复印件1份）；</w:t>
      </w:r>
    </w:p>
    <w:p w14:paraId="7DA8FF7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3.工商营业执照副本（复印件1份）；</w:t>
      </w:r>
    </w:p>
    <w:p w14:paraId="196F8294">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4.法人身份证明（复印件1份）；</w:t>
      </w:r>
    </w:p>
    <w:p w14:paraId="0D891E0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5.法人不能亲自办理的应提供《授权委托书》（原件1份）；</w:t>
      </w:r>
    </w:p>
    <w:p w14:paraId="10CC7D3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6.受托人身份证明（复印件1份）；</w:t>
      </w:r>
      <w:bookmarkStart w:id="0" w:name="_GoBack"/>
      <w:bookmarkEnd w:id="0"/>
    </w:p>
    <w:p w14:paraId="4C5BDA0C">
      <w:pPr>
        <w:spacing w:line="360" w:lineRule="exact"/>
        <w:ind w:firstLine="420" w:firstLineChars="200"/>
        <w:rPr>
          <w:rFonts w:ascii="Times New Roman" w:hAnsi="Times New Roman" w:eastAsia="方正仿宋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7.按照成交结果完善的《重庆市采矿权出让合同》签章件6份（原件）。</w:t>
      </w:r>
    </w:p>
    <w:p w14:paraId="0B9E0220">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十、对交易矿业权异议的处理方式</w:t>
      </w:r>
    </w:p>
    <w:p w14:paraId="3700CCD0">
      <w:pPr>
        <w:spacing w:line="360" w:lineRule="exact"/>
        <w:ind w:firstLine="420" w:firstLineChars="200"/>
        <w:rPr>
          <w:rFonts w:ascii="Times New Roman" w:hAnsi="Times New Roman" w:eastAsia="方正仿宋_GBK" w:cs="Times New Roman"/>
          <w:color w:val="262626" w:themeColor="text1" w:themeTint="D9"/>
          <w:szCs w:val="21"/>
          <w:highlight w:val="yellow"/>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对本次出让的采矿权存有异议的，应在</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采矿权出让</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公告期截止前以书面方式向</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重庆市</w:t>
      </w:r>
      <w:r>
        <w:rPr>
          <w:rFonts w:hint="eastAsia" w:ascii="Times New Roman" w:hAnsi="Times New Roman" w:eastAsia="方正仿宋_GBK" w:cs="Times New Roman"/>
          <w:color w:val="262626" w:themeColor="text1" w:themeTint="D9"/>
          <w:sz w:val="22"/>
          <w:u w:val="none"/>
          <w:lang w:eastAsia="zh-CN"/>
          <w14:textFill>
            <w14:solidFill>
              <w14:schemeClr w14:val="tx1">
                <w14:lumMod w14:val="85000"/>
                <w14:lumOff w14:val="15000"/>
              </w14:schemeClr>
            </w14:solidFill>
          </w14:textFill>
        </w:rPr>
        <w:t>南川区</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规划和自然资源局提出（联系人：</w:t>
      </w:r>
      <w:r>
        <w:rPr>
          <w:rFonts w:hint="eastAsia" w:ascii="Times New Roman" w:hAnsi="Times New Roman" w:eastAsia="方正仿宋_GBK" w:cs="Times New Roman"/>
          <w:color w:val="262626" w:themeColor="text1" w:themeTint="D9"/>
          <w:sz w:val="22"/>
          <w:u w:val="none"/>
          <w:lang w:eastAsia="zh-CN"/>
          <w14:textFill>
            <w14:solidFill>
              <w14:schemeClr w14:val="tx1">
                <w14:lumMod w14:val="85000"/>
                <w14:lumOff w14:val="15000"/>
              </w14:schemeClr>
            </w14:solidFill>
          </w14:textFill>
        </w:rPr>
        <w:t>杨老师</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，联系电话：023-71420530）。根据所提异议的具体情况，按照《矿业权出让交易规则》（自然资规〔2023〕1号）等相关规定进行妥善处置。</w:t>
      </w:r>
    </w:p>
    <w:p w14:paraId="2AE78789">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十一、交易中止或终止</w:t>
      </w:r>
    </w:p>
    <w:p w14:paraId="3BEB069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（一）有下列情形之一的，市公共资源交易中心将发布中止网上交易公告，并中止网上交易活动：</w:t>
      </w:r>
    </w:p>
    <w:p w14:paraId="0739611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1.公告公示期间发现出让的矿业权权属争议尚未解决的；</w:t>
      </w:r>
    </w:p>
    <w:p w14:paraId="5B1BBA4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2.竞得人有矿产资源违法行为的行政处罚逾期不履行的；</w:t>
      </w:r>
    </w:p>
    <w:p w14:paraId="2A38208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3.因不可抗力或者政策变化应当中止交易的其他情形。</w:t>
      </w:r>
    </w:p>
    <w:p w14:paraId="3007EF6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（二）有下列情形之一的，市公共资源交易中心将发布终止网上交易公告，并终止网上交易活动：</w:t>
      </w:r>
    </w:p>
    <w:p w14:paraId="29D9062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1.出让人因有关政策规定、矿业权出让所依据的客观情况等发生重大变化提出终止交易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2E88838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2.因不可抗力应当终止交易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9B4EF9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3.法律法规规定的其他情形。</w:t>
      </w:r>
    </w:p>
    <w:p w14:paraId="518E28E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（三）依法应当中止或者终止网上交易活动的其他情形：</w:t>
      </w:r>
    </w:p>
    <w:p w14:paraId="614D85B6">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14:paraId="12EAF112">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14:paraId="6D2A6E64">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14:paraId="180C00E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2412063F">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十二、其他重要提示</w:t>
      </w:r>
    </w:p>
    <w:p w14:paraId="44C26175">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一</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）竞得人</w:t>
      </w:r>
      <w:r>
        <w:rPr>
          <w:rFonts w:hint="eastAsia"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w:t>
      </w:r>
    </w:p>
    <w:p w14:paraId="08B547CA">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二）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14:paraId="1E541D69">
      <w:pPr>
        <w:spacing w:line="360" w:lineRule="exact"/>
        <w:ind w:firstLine="420" w:firstLineChars="200"/>
        <w:rPr>
          <w:rFonts w:hint="eastAsia" w:ascii="Times New Roman" w:hAnsi="Times New Roman" w:eastAsia="方正仿宋_GBK" w:cs="Times New Roman"/>
          <w:color w:val="000000" w:themeColor="text1"/>
          <w:szCs w:val="21"/>
          <w:highlight w:val="none"/>
          <w:u w:val="none"/>
          <w14:textFill>
            <w14:solidFill>
              <w14:schemeClr w14:val="tx1"/>
            </w14:solidFill>
          </w14:textFill>
        </w:rPr>
      </w:pPr>
      <w:r>
        <w:rPr>
          <w:rFonts w:hint="eastAsia" w:ascii="Times New Roman" w:hAnsi="Times New Roman" w:eastAsia="方正仿宋_GBK" w:cs="Times New Roman"/>
          <w:color w:val="auto"/>
          <w:szCs w:val="21"/>
          <w:u w:val="none"/>
        </w:rPr>
        <w:t>（</w:t>
      </w:r>
      <w:r>
        <w:rPr>
          <w:rFonts w:hint="eastAsia" w:ascii="Times New Roman" w:hAnsi="Times New Roman" w:eastAsia="方正仿宋_GBK" w:cs="Times New Roman"/>
          <w:color w:val="auto"/>
          <w:szCs w:val="21"/>
          <w:u w:val="none"/>
          <w:lang w:val="en-US" w:eastAsia="zh-CN"/>
        </w:rPr>
        <w:t>三</w:t>
      </w:r>
      <w:r>
        <w:rPr>
          <w:rFonts w:hint="eastAsia" w:ascii="Times New Roman" w:hAnsi="Times New Roman" w:eastAsia="方正仿宋_GBK" w:cs="Times New Roman"/>
          <w:color w:val="auto"/>
          <w:szCs w:val="21"/>
          <w:u w:val="none"/>
        </w:rPr>
        <w:t>）竞买申请人须认真详读出让文件，现场踏勘并详细了解出让范围及周边土地、山权、林权、道路、地下管线、水电供给、废渣占地堆放、地表附着物、社群关系等影响资源开采的外部条件以</w:t>
      </w:r>
      <w:r>
        <w:rPr>
          <w:rFonts w:hint="eastAsia" w:ascii="Times New Roman" w:hAnsi="Times New Roman" w:eastAsia="方正仿宋_GBK" w:cs="Times New Roman"/>
          <w:color w:val="auto"/>
          <w:szCs w:val="21"/>
          <w:highlight w:val="none"/>
          <w:u w:val="none"/>
        </w:rPr>
        <w:t>及</w:t>
      </w:r>
      <w:r>
        <w:rPr>
          <w:rFonts w:hint="eastAsia" w:ascii="Times New Roman" w:hAnsi="Times New Roman" w:eastAsia="方正仿宋_GBK" w:cs="Times New Roman"/>
          <w:color w:val="auto"/>
          <w:szCs w:val="21"/>
          <w:highlight w:val="none"/>
          <w:u w:val="none"/>
          <w:lang w:val="en-US" w:eastAsia="zh-CN"/>
        </w:rPr>
        <w:t>矿区范围所涉及的土地流转等</w:t>
      </w:r>
      <w:r>
        <w:rPr>
          <w:rFonts w:hint="eastAsia" w:ascii="Times New Roman" w:hAnsi="Times New Roman" w:eastAsia="方正仿宋_GBK" w:cs="Times New Roman"/>
          <w:color w:val="auto"/>
          <w:szCs w:val="21"/>
          <w:highlight w:val="none"/>
          <w:u w:val="none"/>
        </w:rPr>
        <w:t>其他权益补偿情况</w:t>
      </w:r>
      <w:r>
        <w:rPr>
          <w:rFonts w:hint="eastAsia" w:ascii="Times New Roman" w:hAnsi="Times New Roman" w:eastAsia="方正仿宋_GBK" w:cs="Times New Roman"/>
          <w:color w:val="auto"/>
          <w:szCs w:val="21"/>
          <w:highlight w:val="none"/>
          <w:u w:val="none"/>
          <w:lang w:eastAsia="zh-CN"/>
        </w:rPr>
        <w:t>，</w:t>
      </w:r>
      <w:r>
        <w:rPr>
          <w:rFonts w:hint="eastAsia" w:ascii="Times New Roman" w:hAnsi="Times New Roman" w:eastAsia="方正仿宋_GBK" w:cs="Times New Roman"/>
          <w:color w:val="000000" w:themeColor="text1"/>
          <w:szCs w:val="21"/>
          <w:highlight w:val="none"/>
          <w:u w:val="none"/>
          <w:lang w:val="en-US" w:eastAsia="zh-CN"/>
          <w14:textFill>
            <w14:solidFill>
              <w14:schemeClr w14:val="tx1"/>
            </w14:solidFill>
          </w14:textFill>
        </w:rPr>
        <w:t>并自愿接受现状情况</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w:t>
      </w:r>
      <w:r>
        <w:rPr>
          <w:rFonts w:hint="eastAsia" w:ascii="Times New Roman" w:hAnsi="Times New Roman" w:eastAsia="方正仿宋_GBK" w:cs="Times New Roman"/>
          <w:color w:val="auto"/>
          <w:szCs w:val="21"/>
          <w:highlight w:val="none"/>
          <w:u w:val="none"/>
        </w:rPr>
        <w:t>竞得人需自行办理林地、安全施工、环境保护、水土保持、矿区生态修复方案批复</w:t>
      </w:r>
      <w:r>
        <w:rPr>
          <w:rFonts w:hint="eastAsia" w:ascii="Times New Roman" w:hAnsi="Times New Roman" w:eastAsia="方正仿宋_GBK" w:cs="Times New Roman"/>
          <w:color w:val="auto"/>
          <w:szCs w:val="21"/>
          <w:highlight w:val="none"/>
          <w:u w:val="none"/>
          <w:lang w:eastAsia="zh-CN"/>
        </w:rPr>
        <w:t>、</w:t>
      </w:r>
      <w:r>
        <w:rPr>
          <w:rFonts w:hint="eastAsia" w:ascii="Times New Roman" w:hAnsi="Times New Roman" w:eastAsia="方正仿宋_GBK" w:cs="Times New Roman"/>
          <w:color w:val="auto"/>
          <w:szCs w:val="21"/>
          <w:highlight w:val="none"/>
          <w:u w:val="none"/>
          <w:lang w:val="en-US" w:eastAsia="zh-CN"/>
        </w:rPr>
        <w:t>协议签订</w:t>
      </w:r>
      <w:r>
        <w:rPr>
          <w:rFonts w:hint="eastAsia" w:ascii="Times New Roman" w:hAnsi="Times New Roman" w:eastAsia="方正仿宋_GBK" w:cs="Times New Roman"/>
          <w:color w:val="auto"/>
          <w:szCs w:val="21"/>
          <w:highlight w:val="none"/>
          <w:u w:val="none"/>
        </w:rPr>
        <w:t>等其它手续。</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w:t>
      </w:r>
      <w:r>
        <w:rPr>
          <w:rFonts w:hint="eastAsia" w:ascii="Times New Roman" w:hAnsi="Times New Roman" w:eastAsia="方正仿宋_GBK" w:cs="Times New Roman"/>
          <w:color w:val="000000" w:themeColor="text1"/>
          <w:szCs w:val="21"/>
          <w:highlight w:val="none"/>
          <w:u w:val="none"/>
          <w:lang w:val="en-US" w:eastAsia="zh-CN"/>
          <w14:textFill>
            <w14:solidFill>
              <w14:schemeClr w14:val="tx1"/>
            </w14:solidFill>
          </w14:textFill>
        </w:rPr>
        <w:t>重庆市南川</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区规划自然资源局联系人：</w:t>
      </w:r>
      <w:r>
        <w:rPr>
          <w:rFonts w:hint="eastAsia" w:ascii="Times New Roman" w:hAnsi="Times New Roman" w:eastAsia="方正仿宋_GBK" w:cs="Times New Roman"/>
          <w:color w:val="000000" w:themeColor="text1"/>
          <w:szCs w:val="21"/>
          <w:highlight w:val="none"/>
          <w:u w:val="none"/>
          <w:lang w:eastAsia="zh-CN"/>
          <w14:textFill>
            <w14:solidFill>
              <w14:schemeClr w14:val="tx1"/>
            </w14:solidFill>
          </w14:textFill>
        </w:rPr>
        <w:t>杨老师</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，联系电话：</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023-71420530</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w:t>
      </w:r>
    </w:p>
    <w:p w14:paraId="0EA932C3">
      <w:pPr>
        <w:spacing w:line="360" w:lineRule="exact"/>
        <w:ind w:firstLine="420" w:firstLineChars="200"/>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pPr>
      <w:r>
        <w:rPr>
          <w:rFonts w:hint="eastAsia" w:ascii="Times New Roman" w:hAnsi="Times New Roman" w:eastAsia="方正仿宋_GBK" w:cs="Times New Roman"/>
          <w:color w:val="000000" w:themeColor="text1"/>
          <w:szCs w:val="21"/>
          <w:u w:val="none"/>
          <w14:textFill>
            <w14:solidFill>
              <w14:schemeClr w14:val="tx1"/>
            </w14:solidFill>
          </w14:textFill>
        </w:rPr>
        <w:t>（</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四</w:t>
      </w:r>
      <w:r>
        <w:rPr>
          <w:rFonts w:hint="eastAsia" w:ascii="Times New Roman" w:hAnsi="Times New Roman" w:eastAsia="方正仿宋_GBK" w:cs="Times New Roman"/>
          <w:color w:val="000000" w:themeColor="text1"/>
          <w:szCs w:val="21"/>
          <w:u w:val="none"/>
          <w14:textFill>
            <w14:solidFill>
              <w14:schemeClr w14:val="tx1"/>
            </w14:solidFill>
          </w14:textFill>
        </w:rPr>
        <w:t>）提交竞买申请即视为竞买人对拟出让采矿权现状、出让文件、采矿权出让合同、政策</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要求等内容已完全认可并自愿承担所有风险。</w:t>
      </w:r>
    </w:p>
    <w:p w14:paraId="168294BE">
      <w:pPr>
        <w:spacing w:line="360" w:lineRule="exact"/>
        <w:ind w:firstLine="420" w:firstLineChars="200"/>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pP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（五）竞得人在签收《成交确认书》之日起5个工作日内需另行支付交易服务费</w:t>
      </w: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9.480275</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万元（暂定，以最终成交价测算为准）。收费标准按《重庆市发展和改革委员会关于矿业权和加工贸易废料交易服务收费有关事项的通知》（渝发改收费〔2025〕421号）执行。</w:t>
      </w:r>
    </w:p>
    <w:p w14:paraId="5AF4AE43">
      <w:pPr>
        <w:spacing w:line="360" w:lineRule="exact"/>
        <w:ind w:firstLine="420" w:firstLineChars="200"/>
        <w:rPr>
          <w:rFonts w:ascii="Times New Roman" w:hAnsi="Times New Roman" w:eastAsia="方正仿宋_GBK" w:cs="Times New Roman"/>
          <w:color w:val="auto"/>
          <w:szCs w:val="21"/>
          <w:u w:val="none"/>
        </w:rPr>
      </w:pPr>
    </w:p>
    <w:p w14:paraId="72A0659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附件：</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《竞买申请书》</w:t>
      </w:r>
    </w:p>
    <w:p w14:paraId="755C3EFB">
      <w:pPr>
        <w:spacing w:line="360" w:lineRule="exact"/>
        <w:ind w:firstLine="1050" w:firstLineChars="5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《授权委托书》</w:t>
      </w:r>
    </w:p>
    <w:p w14:paraId="3C07F5A1">
      <w:pPr>
        <w:spacing w:line="360" w:lineRule="exact"/>
        <w:ind w:firstLine="1050" w:firstLineChars="5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重庆市采矿权出让合同（模板）</w:t>
      </w:r>
    </w:p>
    <w:p w14:paraId="08D4C08F">
      <w:pPr>
        <w:spacing w:line="360" w:lineRule="exact"/>
        <w:ind w:firstLine="1050" w:firstLineChars="5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lang w:eastAsia="zh-CN"/>
          <w14:textFill>
            <w14:solidFill>
              <w14:schemeClr w14:val="tx1">
                <w14:lumMod w14:val="85000"/>
                <w14:lumOff w14:val="15000"/>
              </w14:schemeClr>
            </w14:solidFill>
          </w14:textFill>
        </w:rPr>
        <w:t>采矿权出让</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成交确认书》</w:t>
      </w:r>
    </w:p>
    <w:p w14:paraId="0BADDDBE">
      <w:pPr>
        <w:spacing w:line="360" w:lineRule="exact"/>
        <w:ind w:firstLine="420" w:firstLineChars="20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14:paraId="6317DEAC">
      <w:pPr>
        <w:spacing w:line="360" w:lineRule="exact"/>
        <w:ind w:firstLine="420" w:firstLineChars="20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lang w:val="en-US"/>
          <w14:textFill>
            <w14:solidFill>
              <w14:schemeClr w14:val="tx1">
                <w14:lumMod w14:val="85000"/>
                <w14:lumOff w14:val="15000"/>
              </w14:schemeClr>
            </w14:solidFill>
          </w14:textFill>
        </w:rPr>
        <w:t>2025</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 xml:space="preserve"> </w:t>
      </w:r>
      <w:r>
        <w:rPr>
          <w:rFonts w:hint="default"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9</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 xml:space="preserve"> </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 xml:space="preserve"> </w:t>
      </w:r>
      <w:r>
        <w:rPr>
          <w:rFonts w:hint="default"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2</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 xml:space="preserve"> </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日</w:t>
      </w:r>
    </w:p>
    <w:tbl>
      <w:tblPr>
        <w:tblStyle w:val="7"/>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3D13D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exact"/>
        </w:trPr>
        <w:tc>
          <w:tcPr>
            <w:tcW w:w="8359" w:type="dxa"/>
          </w:tcPr>
          <w:p w14:paraId="5F033CDB">
            <w:pPr>
              <w:spacing w:line="360" w:lineRule="exac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竞买申请人声明：</w:t>
            </w:r>
            <w:r>
              <w:rPr>
                <w:rFonts w:ascii="Times New Roman" w:hAnsi="Times New Roman" w:eastAsia="方正仿宋_GBK" w:cs="Times New Roman"/>
                <w:i/>
                <w:color w:val="262626" w:themeColor="text1" w:themeTint="D9"/>
                <w:szCs w:val="21"/>
                <w:u w:val="single"/>
                <w14:textFill>
                  <w14:solidFill>
                    <w14:schemeClr w14:val="tx1">
                      <w14:lumMod w14:val="85000"/>
                      <w14:lumOff w14:val="15000"/>
                    </w14:schemeClr>
                  </w14:solidFill>
                </w14:textFill>
              </w:rPr>
              <w:t>（填写已自行踏勘、知晓、自愿等声明）</w:t>
            </w:r>
          </w:p>
          <w:p w14:paraId="04A9A9CF">
            <w:pPr>
              <w:spacing w:line="360" w:lineRule="exact"/>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p>
          <w:p w14:paraId="6401D4B5">
            <w:pPr>
              <w:spacing w:line="360" w:lineRule="exact"/>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p>
          <w:p w14:paraId="4071A5DC">
            <w:pPr>
              <w:spacing w:line="360" w:lineRule="exact"/>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p>
          <w:p w14:paraId="1C5834BD">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竞买申请人（盖章）：</w:t>
            </w:r>
          </w:p>
          <w:p w14:paraId="7DBB7498">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法人代表或授权代理人（签名）：</w:t>
            </w:r>
          </w:p>
          <w:p w14:paraId="48977A71">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14:paraId="4236DEF9">
            <w:pPr>
              <w:wordWrap w:val="0"/>
              <w:spacing w:line="360" w:lineRule="exact"/>
              <w:ind w:right="525" w:rightChars="25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 xml:space="preserve">  </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 xml:space="preserve">  </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日</w:t>
            </w:r>
          </w:p>
        </w:tc>
      </w:tr>
    </w:tbl>
    <w:p w14:paraId="08FD2FA1">
      <w:pPr>
        <w:rPr>
          <w:rFonts w:ascii="Times New Roman" w:hAnsi="Times New Roman" w:cs="Times New Roman"/>
          <w:color w:val="262626" w:themeColor="text1" w:themeTint="D9"/>
          <w:szCs w:val="21"/>
          <w14:textFill>
            <w14:solidFill>
              <w14:schemeClr w14:val="tx1">
                <w14:lumMod w14:val="85000"/>
                <w14:lumOff w14:val="15000"/>
              </w14:schemeClr>
            </w14:solidFill>
          </w14:textFill>
        </w:rPr>
      </w:pPr>
    </w:p>
    <w:sectPr>
      <w:footerReference r:id="rId3" w:type="default"/>
      <w:pgSz w:w="11906" w:h="16838"/>
      <w:pgMar w:top="2098" w:right="1474" w:bottom="1984" w:left="1587"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ADB5D">
    <w:pPr>
      <w:pStyle w:val="4"/>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0D40C1">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110D40C1">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4C3368"/>
    <w:rsid w:val="000E594F"/>
    <w:rsid w:val="00130193"/>
    <w:rsid w:val="0015687B"/>
    <w:rsid w:val="001C0B90"/>
    <w:rsid w:val="001E4BC6"/>
    <w:rsid w:val="001F353F"/>
    <w:rsid w:val="00201871"/>
    <w:rsid w:val="002A74E4"/>
    <w:rsid w:val="003F570D"/>
    <w:rsid w:val="0046086D"/>
    <w:rsid w:val="00475A6F"/>
    <w:rsid w:val="00484F3B"/>
    <w:rsid w:val="004C3368"/>
    <w:rsid w:val="0058582D"/>
    <w:rsid w:val="007A3A1F"/>
    <w:rsid w:val="007B30EE"/>
    <w:rsid w:val="007E6E7F"/>
    <w:rsid w:val="00861745"/>
    <w:rsid w:val="00892797"/>
    <w:rsid w:val="008F73AF"/>
    <w:rsid w:val="00934C8D"/>
    <w:rsid w:val="00953AD5"/>
    <w:rsid w:val="0098680D"/>
    <w:rsid w:val="00A169EA"/>
    <w:rsid w:val="00AE07EF"/>
    <w:rsid w:val="00BB0DC4"/>
    <w:rsid w:val="00C62B44"/>
    <w:rsid w:val="00D71306"/>
    <w:rsid w:val="00DA1E20"/>
    <w:rsid w:val="00E0123E"/>
    <w:rsid w:val="00E36FB8"/>
    <w:rsid w:val="00F024B4"/>
    <w:rsid w:val="00F5722A"/>
    <w:rsid w:val="00F6759E"/>
    <w:rsid w:val="00FC7B89"/>
    <w:rsid w:val="0176629F"/>
    <w:rsid w:val="021744D7"/>
    <w:rsid w:val="03982886"/>
    <w:rsid w:val="092C4658"/>
    <w:rsid w:val="0DD518B4"/>
    <w:rsid w:val="0DD811C5"/>
    <w:rsid w:val="0FA86774"/>
    <w:rsid w:val="13964441"/>
    <w:rsid w:val="13D77E5C"/>
    <w:rsid w:val="149C6688"/>
    <w:rsid w:val="14F63BA5"/>
    <w:rsid w:val="17B92AE8"/>
    <w:rsid w:val="1A734C33"/>
    <w:rsid w:val="1D00571C"/>
    <w:rsid w:val="1F100851"/>
    <w:rsid w:val="21A902BF"/>
    <w:rsid w:val="22C5784D"/>
    <w:rsid w:val="234D390B"/>
    <w:rsid w:val="24A857DD"/>
    <w:rsid w:val="26177D67"/>
    <w:rsid w:val="2725760A"/>
    <w:rsid w:val="276D7189"/>
    <w:rsid w:val="27F47033"/>
    <w:rsid w:val="2A182D91"/>
    <w:rsid w:val="2B70514E"/>
    <w:rsid w:val="2DCC1491"/>
    <w:rsid w:val="2E167654"/>
    <w:rsid w:val="2EF840C8"/>
    <w:rsid w:val="2F942603"/>
    <w:rsid w:val="2FD25F02"/>
    <w:rsid w:val="2FE62E48"/>
    <w:rsid w:val="30F223A9"/>
    <w:rsid w:val="337A419C"/>
    <w:rsid w:val="356D1D34"/>
    <w:rsid w:val="392200E6"/>
    <w:rsid w:val="3D0847F7"/>
    <w:rsid w:val="3D2A7168"/>
    <w:rsid w:val="3F55288C"/>
    <w:rsid w:val="40A24B89"/>
    <w:rsid w:val="42057742"/>
    <w:rsid w:val="42F8205B"/>
    <w:rsid w:val="47797541"/>
    <w:rsid w:val="48D95284"/>
    <w:rsid w:val="4B57630E"/>
    <w:rsid w:val="50716D51"/>
    <w:rsid w:val="514F7B3C"/>
    <w:rsid w:val="53365504"/>
    <w:rsid w:val="5676552E"/>
    <w:rsid w:val="575B5564"/>
    <w:rsid w:val="59C21D7F"/>
    <w:rsid w:val="5AC1568D"/>
    <w:rsid w:val="5B68796B"/>
    <w:rsid w:val="5D7E4748"/>
    <w:rsid w:val="5DD12577"/>
    <w:rsid w:val="63C15838"/>
    <w:rsid w:val="64467E62"/>
    <w:rsid w:val="64B556C7"/>
    <w:rsid w:val="6A7D4E10"/>
    <w:rsid w:val="6B322523"/>
    <w:rsid w:val="6D370D2F"/>
    <w:rsid w:val="6DF35295"/>
    <w:rsid w:val="70E61BC2"/>
    <w:rsid w:val="72814ECE"/>
    <w:rsid w:val="729E4B62"/>
    <w:rsid w:val="73D20B92"/>
    <w:rsid w:val="777042D9"/>
    <w:rsid w:val="77FA702F"/>
    <w:rsid w:val="78BD6D27"/>
    <w:rsid w:val="7F4E78FB"/>
    <w:rsid w:val="7F761E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ind w:left="100" w:firstLine="559"/>
      <w:jc w:val="left"/>
    </w:pPr>
    <w:rPr>
      <w:rFonts w:ascii="宋体" w:hAnsi="宋体"/>
      <w:kern w:val="0"/>
      <w:sz w:val="28"/>
      <w:szCs w:val="28"/>
      <w:lang w:eastAsia="en-US"/>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szCs w:val="24"/>
    </w:rPr>
  </w:style>
  <w:style w:type="character" w:styleId="9">
    <w:name w:val="Strong"/>
    <w:basedOn w:val="8"/>
    <w:qFormat/>
    <w:uiPriority w:val="22"/>
    <w:rPr>
      <w:b/>
      <w:bCs/>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5766</Words>
  <Characters>6365</Characters>
  <Lines>41</Lines>
  <Paragraphs>11</Paragraphs>
  <TotalTime>0</TotalTime>
  <ScaleCrop>false</ScaleCrop>
  <LinksUpToDate>false</LinksUpToDate>
  <CharactersWithSpaces>6395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蔡蔡</cp:lastModifiedBy>
  <cp:lastPrinted>2025-08-29T09:09:49Z</cp:lastPrinted>
  <dcterms:modified xsi:type="dcterms:W3CDTF">2025-08-29T09:09:53Z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315BF5D31DB94B7A9F1253AD81DAE154_13</vt:lpwstr>
  </property>
  <property fmtid="{D5CDD505-2E9C-101B-9397-08002B2CF9AE}" pid="4" name="KSOTemplateDocerSaveRecord">
    <vt:lpwstr>eyJoZGlkIjoiY2VhYWMyMWIxZTk3ZWY4NmQyZGQyZmEyNzBlYzQyMDciLCJ1c2VySWQiOiIxNjgxNzAyNDQ1In0=</vt:lpwstr>
  </property>
</Properties>
</file>