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158D9">
      <w:pPr>
        <w:snapToGrid w:val="0"/>
        <w:jc w:val="center"/>
        <w:rPr>
          <w:rFonts w:hint="eastAsia" w:ascii="Times New Roman" w:hAnsi="Times New Roman" w:eastAsia="方正小标宋_GBK" w:cs="Times New Roman"/>
          <w:color w:val="000000" w:themeColor="text1"/>
          <w:sz w:val="28"/>
          <w:szCs w:val="28"/>
          <w14:textFill>
            <w14:solidFill>
              <w14:schemeClr w14:val="tx1"/>
            </w14:solidFill>
          </w14:textFill>
        </w:rPr>
      </w:pPr>
      <w:bookmarkStart w:id="0" w:name="_GoBack"/>
      <w:bookmarkEnd w:id="0"/>
      <w:r>
        <w:rPr>
          <w:rFonts w:hint="eastAsia" w:ascii="Times New Roman" w:hAnsi="Times New Roman" w:eastAsia="方正小标宋_GBK" w:cs="Times New Roman"/>
          <w:color w:val="000000" w:themeColor="text1"/>
          <w:sz w:val="28"/>
          <w:szCs w:val="28"/>
          <w14:textFill>
            <w14:solidFill>
              <w14:schemeClr w14:val="tx1"/>
            </w14:solidFill>
          </w14:textFill>
        </w:rPr>
        <w:t>重庆市南岸区海棠溪街道海棠晓月</w:t>
      </w:r>
    </w:p>
    <w:p w14:paraId="3C9C2571">
      <w:pPr>
        <w:snapToGrid w:val="0"/>
        <w:jc w:val="center"/>
        <w:rPr>
          <w:rFonts w:eastAsia="方正小标宋_GBK"/>
          <w:color w:val="auto"/>
          <w:sz w:val="44"/>
          <w:szCs w:val="44"/>
        </w:rPr>
      </w:pPr>
      <w:r>
        <w:rPr>
          <w:rFonts w:hint="eastAsia" w:ascii="Times New Roman" w:hAnsi="Times New Roman" w:eastAsia="方正小标宋_GBK" w:cs="Times New Roman"/>
          <w:color w:val="000000" w:themeColor="text1"/>
          <w:sz w:val="28"/>
          <w:szCs w:val="28"/>
          <w14:textFill>
            <w14:solidFill>
              <w14:schemeClr w14:val="tx1"/>
            </w14:solidFill>
          </w14:textFill>
        </w:rPr>
        <w:t>地热</w:t>
      </w:r>
      <w:r>
        <w:rPr>
          <w:rFonts w:ascii="Times New Roman" w:hAnsi="Times New Roman" w:eastAsia="方正小标宋_GBK" w:cs="Times New Roman"/>
          <w:color w:val="000000" w:themeColor="text1"/>
          <w:sz w:val="28"/>
          <w:szCs w:val="28"/>
          <w14:textFill>
            <w14:solidFill>
              <w14:schemeClr w14:val="tx1"/>
            </w14:solidFill>
          </w14:textFill>
        </w:rPr>
        <w:t>采矿权挂牌出让文件</w:t>
      </w:r>
    </w:p>
    <w:p w14:paraId="3FD7653B">
      <w:pPr>
        <w:spacing w:line="600" w:lineRule="exact"/>
        <w:jc w:val="right"/>
        <w:rPr>
          <w:rFonts w:eastAsia="宋体"/>
          <w:b/>
          <w:color w:val="auto"/>
          <w:sz w:val="22"/>
        </w:rPr>
      </w:pPr>
    </w:p>
    <w:p w14:paraId="3BCF19CE">
      <w:pPr>
        <w:wordWrap w:val="0"/>
        <w:spacing w:line="360" w:lineRule="exact"/>
        <w:jc w:val="right"/>
        <w:rPr>
          <w:b/>
          <w:color w:val="auto"/>
          <w:szCs w:val="21"/>
        </w:rPr>
      </w:pPr>
      <w:r>
        <w:rPr>
          <w:rFonts w:ascii="Times New Roman" w:hAnsi="Times New Roman" w:eastAsia="方正仿宋_GBK" w:cs="Times New Roman"/>
          <w:b/>
          <w:color w:val="000000" w:themeColor="text1"/>
          <w:sz w:val="21"/>
          <w:szCs w:val="21"/>
          <w14:textFill>
            <w14:solidFill>
              <w14:schemeClr w14:val="tx1"/>
            </w14:solidFill>
          </w14:textFill>
        </w:rPr>
        <w:t>公告序号：</w:t>
      </w:r>
      <w:r>
        <w:rPr>
          <w:rFonts w:hint="eastAsia" w:cs="Times New Roman"/>
          <w:b/>
          <w:color w:val="000000" w:themeColor="text1"/>
          <w:sz w:val="21"/>
          <w:szCs w:val="21"/>
          <w:u w:val="none"/>
          <w:lang w:val="en-US" w:eastAsia="zh-CN"/>
          <w14:textFill>
            <w14:solidFill>
              <w14:schemeClr w14:val="tx1"/>
            </w14:solidFill>
          </w14:textFill>
        </w:rPr>
        <w:t>NAGC202501</w:t>
      </w:r>
    </w:p>
    <w:p w14:paraId="1770B9EA">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为合理开发利用矿产资源，维护矿产资源的国家所有权，建立规范、开放、竞争、有序的矿业权市场，根据《矿业权出让交易规则》（自然资规〔2023〕1号）有关规定，重庆市南岸区规划和自然资源局决定公开挂牌出让以下采矿权，并委托重庆市公共资源交易中心负责公开出让交易环节的组织实施，本次公开出让的采矿权采用网上交易方式。</w:t>
      </w:r>
    </w:p>
    <w:p w14:paraId="1C562C43">
      <w:pPr>
        <w:spacing w:line="360" w:lineRule="exact"/>
        <w:ind w:firstLine="420" w:firstLineChars="200"/>
        <w:rPr>
          <w:rFonts w:eastAsia="方正黑体_GBK"/>
          <w:bCs/>
          <w:color w:val="auto"/>
          <w:szCs w:val="21"/>
        </w:rPr>
      </w:pPr>
      <w:r>
        <w:rPr>
          <w:rFonts w:ascii="Times New Roman" w:hAnsi="Times New Roman" w:eastAsia="方正黑体_GBK" w:cs="Times New Roman"/>
          <w:color w:val="000000" w:themeColor="text1"/>
          <w:kern w:val="0"/>
          <w:sz w:val="21"/>
          <w:szCs w:val="21"/>
          <w14:textFill>
            <w14:solidFill>
              <w14:schemeClr w14:val="tx1"/>
            </w14:solidFill>
          </w14:textFill>
        </w:rPr>
        <w:t>一、出让采矿权基本情况</w:t>
      </w:r>
    </w:p>
    <w:p w14:paraId="3CDC7BB0">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（一）公告时间：2025年</w:t>
      </w:r>
      <w:r>
        <w:rPr>
          <w:rFonts w:hint="eastAsia" w:cs="Times New Roman"/>
          <w:color w:val="000000" w:themeColor="text1"/>
          <w:sz w:val="21"/>
          <w:szCs w:val="21"/>
          <w:lang w:val="en-US" w:eastAsia="zh-CN"/>
          <w14:textFill>
            <w14:solidFill>
              <w14:schemeClr w14:val="tx1"/>
            </w14:solidFill>
          </w14:textFill>
        </w:rPr>
        <w:t>10月11日</w:t>
      </w:r>
      <w:r>
        <w:rPr>
          <w:rFonts w:ascii="Times New Roman" w:hAnsi="Times New Roman" w:eastAsia="方正仿宋_GBK" w:cs="Times New Roman"/>
          <w:color w:val="000000" w:themeColor="text1"/>
          <w:sz w:val="21"/>
          <w:szCs w:val="21"/>
          <w14:textFill>
            <w14:solidFill>
              <w14:schemeClr w14:val="tx1"/>
            </w14:solidFill>
          </w14:textFill>
        </w:rPr>
        <w:t>-2025年</w:t>
      </w:r>
      <w:r>
        <w:rPr>
          <w:rFonts w:hint="eastAsia" w:cs="Times New Roman"/>
          <w:color w:val="000000" w:themeColor="text1"/>
          <w:sz w:val="21"/>
          <w:szCs w:val="21"/>
          <w:lang w:val="en-US" w:eastAsia="zh-CN"/>
          <w14:textFill>
            <w14:solidFill>
              <w14:schemeClr w14:val="tx1"/>
            </w14:solidFill>
          </w14:textFill>
        </w:rPr>
        <w:t>11月6日</w:t>
      </w:r>
      <w:r>
        <w:rPr>
          <w:rFonts w:ascii="Times New Roman" w:hAnsi="Times New Roman" w:eastAsia="方正仿宋_GBK" w:cs="Times New Roman"/>
          <w:color w:val="000000" w:themeColor="text1"/>
          <w:sz w:val="21"/>
          <w:szCs w:val="21"/>
          <w14:textFill>
            <w14:solidFill>
              <w14:schemeClr w14:val="tx1"/>
            </w14:solidFill>
          </w14:textFill>
        </w:rPr>
        <w:t>；</w:t>
      </w:r>
    </w:p>
    <w:p w14:paraId="2029EB91">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（二）采矿权名称（暂定名）：重庆市南岸区海棠溪街道海棠晓月地热；</w:t>
      </w:r>
    </w:p>
    <w:p w14:paraId="051F31F2">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（三）矿山地址：南岸区海棠溪街道南坪东路587号；</w:t>
      </w:r>
    </w:p>
    <w:p w14:paraId="6315231A">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（四）矿区面积：2.0111平方公里；</w:t>
      </w:r>
    </w:p>
    <w:p w14:paraId="2E2E0763">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（五）开采标高：-1640米至-1842米；</w:t>
      </w:r>
    </w:p>
    <w:p w14:paraId="0B5AFBA5">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（六）开采矿种：地热；</w:t>
      </w:r>
    </w:p>
    <w:p w14:paraId="30743CF0">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（七）资源储量：21.9万立方米/年；</w:t>
      </w:r>
    </w:p>
    <w:p w14:paraId="056189EA">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（八）拟建设生产规模：21.9万立方米/年；</w:t>
      </w:r>
    </w:p>
    <w:p w14:paraId="68B0A7A1">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（九）出让年限：5年；</w:t>
      </w:r>
    </w:p>
    <w:p w14:paraId="66E39CED">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（十）出让收益起始价：60.33万元；</w:t>
      </w:r>
    </w:p>
    <w:p w14:paraId="5CD7CC20">
      <w:pPr>
        <w:spacing w:line="360" w:lineRule="exact"/>
        <w:ind w:firstLine="420" w:firstLineChars="200"/>
        <w:rPr>
          <w:color w:val="auto"/>
          <w:szCs w:val="21"/>
        </w:rPr>
      </w:pPr>
      <w:r>
        <w:rPr>
          <w:rFonts w:ascii="Times New Roman" w:hAnsi="Times New Roman" w:eastAsia="方正仿宋_GBK" w:cs="Times New Roman"/>
          <w:color w:val="000000" w:themeColor="text1"/>
          <w:sz w:val="21"/>
          <w:szCs w:val="21"/>
          <w14:textFill>
            <w14:solidFill>
              <w14:schemeClr w14:val="tx1"/>
            </w14:solidFill>
          </w14:textFill>
        </w:rPr>
        <w:t>（十一）矿区范围坐标（2000坐标系）：</w:t>
      </w:r>
    </w:p>
    <w:tbl>
      <w:tblPr>
        <w:tblStyle w:val="21"/>
        <w:tblpPr w:leftFromText="180" w:rightFromText="180" w:vertAnchor="text" w:horzAnchor="page" w:tblpX="1810" w:tblpY="18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1578"/>
        <w:gridCol w:w="1785"/>
        <w:gridCol w:w="1032"/>
        <w:gridCol w:w="1991"/>
        <w:gridCol w:w="1842"/>
      </w:tblGrid>
      <w:tr w14:paraId="29C8E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2" w:type="dxa"/>
            <w:vAlign w:val="center"/>
          </w:tcPr>
          <w:p w14:paraId="6EB15046">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拐点</w:t>
            </w:r>
          </w:p>
        </w:tc>
        <w:tc>
          <w:tcPr>
            <w:tcW w:w="1578" w:type="dxa"/>
            <w:vAlign w:val="center"/>
          </w:tcPr>
          <w:p w14:paraId="7FD3461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X</w:t>
            </w:r>
          </w:p>
        </w:tc>
        <w:tc>
          <w:tcPr>
            <w:tcW w:w="1785" w:type="dxa"/>
            <w:vAlign w:val="center"/>
          </w:tcPr>
          <w:p w14:paraId="06E2BB1C">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Y</w:t>
            </w:r>
          </w:p>
        </w:tc>
        <w:tc>
          <w:tcPr>
            <w:tcW w:w="1032" w:type="dxa"/>
            <w:vAlign w:val="center"/>
          </w:tcPr>
          <w:p w14:paraId="7924CB7D">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拐点</w:t>
            </w:r>
          </w:p>
        </w:tc>
        <w:tc>
          <w:tcPr>
            <w:tcW w:w="1991" w:type="dxa"/>
            <w:vAlign w:val="center"/>
          </w:tcPr>
          <w:p w14:paraId="5D252312">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X</w:t>
            </w:r>
          </w:p>
        </w:tc>
        <w:tc>
          <w:tcPr>
            <w:tcW w:w="1842" w:type="dxa"/>
            <w:vAlign w:val="center"/>
          </w:tcPr>
          <w:p w14:paraId="0F5987D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Y</w:t>
            </w:r>
          </w:p>
        </w:tc>
      </w:tr>
      <w:tr w14:paraId="29E86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2" w:type="dxa"/>
            <w:vAlign w:val="center"/>
          </w:tcPr>
          <w:p w14:paraId="1BC884F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w:t>
            </w:r>
          </w:p>
        </w:tc>
        <w:tc>
          <w:tcPr>
            <w:tcW w:w="1578" w:type="dxa"/>
            <w:vAlign w:val="center"/>
          </w:tcPr>
          <w:p w14:paraId="3064D8C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3270495.20</w:t>
            </w:r>
          </w:p>
        </w:tc>
        <w:tc>
          <w:tcPr>
            <w:tcW w:w="1785" w:type="dxa"/>
            <w:vAlign w:val="center"/>
          </w:tcPr>
          <w:p w14:paraId="638D87C0">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36362114.20</w:t>
            </w:r>
          </w:p>
        </w:tc>
        <w:tc>
          <w:tcPr>
            <w:tcW w:w="1032" w:type="dxa"/>
            <w:vAlign w:val="center"/>
          </w:tcPr>
          <w:p w14:paraId="726CBDA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w:t>
            </w:r>
          </w:p>
        </w:tc>
        <w:tc>
          <w:tcPr>
            <w:tcW w:w="1991" w:type="dxa"/>
            <w:vAlign w:val="center"/>
          </w:tcPr>
          <w:p w14:paraId="2B30A8B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3267728.75</w:t>
            </w:r>
          </w:p>
        </w:tc>
        <w:tc>
          <w:tcPr>
            <w:tcW w:w="1842" w:type="dxa"/>
            <w:vAlign w:val="center"/>
          </w:tcPr>
          <w:p w14:paraId="51D8B77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36362031.59</w:t>
            </w:r>
          </w:p>
        </w:tc>
      </w:tr>
      <w:tr w14:paraId="19DE6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2" w:type="dxa"/>
            <w:vAlign w:val="center"/>
          </w:tcPr>
          <w:p w14:paraId="54808DFA">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w:t>
            </w:r>
          </w:p>
        </w:tc>
        <w:tc>
          <w:tcPr>
            <w:tcW w:w="1578" w:type="dxa"/>
            <w:vAlign w:val="center"/>
          </w:tcPr>
          <w:p w14:paraId="2EE7710F">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3270286.56</w:t>
            </w:r>
          </w:p>
        </w:tc>
        <w:tc>
          <w:tcPr>
            <w:tcW w:w="1785" w:type="dxa"/>
            <w:vAlign w:val="center"/>
          </w:tcPr>
          <w:p w14:paraId="19A7B344">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36362804.59</w:t>
            </w:r>
          </w:p>
        </w:tc>
        <w:tc>
          <w:tcPr>
            <w:tcW w:w="1032" w:type="dxa"/>
            <w:vAlign w:val="center"/>
          </w:tcPr>
          <w:p w14:paraId="36BFD6F7">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4</w:t>
            </w:r>
          </w:p>
        </w:tc>
        <w:tc>
          <w:tcPr>
            <w:tcW w:w="1991" w:type="dxa"/>
            <w:vAlign w:val="center"/>
          </w:tcPr>
          <w:p w14:paraId="148AB7D9">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3267932.72</w:t>
            </w:r>
          </w:p>
        </w:tc>
        <w:tc>
          <w:tcPr>
            <w:tcW w:w="1842" w:type="dxa"/>
            <w:vAlign w:val="center"/>
          </w:tcPr>
          <w:p w14:paraId="645E80F1">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36361280.38</w:t>
            </w:r>
          </w:p>
        </w:tc>
      </w:tr>
    </w:tbl>
    <w:p w14:paraId="29E112A7">
      <w:pPr>
        <w:spacing w:line="360" w:lineRule="exact"/>
        <w:ind w:firstLine="420" w:firstLineChars="200"/>
        <w:rPr>
          <w:rFonts w:ascii="Times New Roman" w:hAnsi="Times New Roman" w:eastAsia="方正黑体_GBK" w:cs="Times New Roman"/>
          <w:color w:val="000000" w:themeColor="text1"/>
          <w:kern w:val="0"/>
          <w:sz w:val="21"/>
          <w:szCs w:val="21"/>
          <w14:textFill>
            <w14:solidFill>
              <w14:schemeClr w14:val="tx1"/>
            </w14:solidFill>
          </w14:textFill>
        </w:rPr>
      </w:pPr>
      <w:r>
        <w:rPr>
          <w:rFonts w:ascii="Times New Roman" w:hAnsi="Times New Roman" w:eastAsia="方正黑体_GBK" w:cs="Times New Roman"/>
          <w:color w:val="000000" w:themeColor="text1"/>
          <w:kern w:val="0"/>
          <w:sz w:val="21"/>
          <w:szCs w:val="21"/>
          <w14:textFill>
            <w14:solidFill>
              <w14:schemeClr w14:val="tx1"/>
            </w14:solidFill>
          </w14:textFill>
        </w:rPr>
        <w:t>二、出让人、交易平台联系方式</w:t>
      </w:r>
    </w:p>
    <w:p w14:paraId="4BE0DD42">
      <w:pPr>
        <w:spacing w:line="360" w:lineRule="exact"/>
        <w:ind w:firstLine="420" w:firstLineChars="200"/>
        <w:rPr>
          <w:rFonts w:eastAsia="方正楷体_GBK" w:cs="方正楷体_GBK"/>
          <w:b/>
          <w:bCs/>
          <w:color w:val="auto"/>
          <w:szCs w:val="21"/>
        </w:rPr>
      </w:pPr>
      <w:r>
        <w:rPr>
          <w:rFonts w:hint="eastAsia" w:ascii="Times New Roman" w:hAnsi="Times New Roman" w:eastAsia="方正楷体_GBK" w:cs="方正楷体_GBK"/>
          <w:color w:val="000000" w:themeColor="text1"/>
          <w:kern w:val="0"/>
          <w:sz w:val="21"/>
          <w:szCs w:val="21"/>
          <w14:textFill>
            <w14:solidFill>
              <w14:schemeClr w14:val="tx1"/>
            </w14:solidFill>
          </w14:textFill>
        </w:rPr>
        <w:t>（一）出让人</w:t>
      </w:r>
    </w:p>
    <w:p w14:paraId="2959EE9C">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本宗采矿权出让人为</w:t>
      </w:r>
      <w:r>
        <w:rPr>
          <w:rFonts w:hint="eastAsia" w:ascii="Times New Roman" w:hAnsi="Times New Roman" w:eastAsia="方正仿宋_GBK" w:cs="Times New Roman"/>
          <w:color w:val="000000" w:themeColor="text1"/>
          <w:sz w:val="21"/>
          <w:szCs w:val="21"/>
          <w14:textFill>
            <w14:solidFill>
              <w14:schemeClr w14:val="tx1"/>
            </w14:solidFill>
          </w14:textFill>
        </w:rPr>
        <w:t>重庆市南岸区</w:t>
      </w:r>
      <w:r>
        <w:rPr>
          <w:rFonts w:ascii="Times New Roman" w:hAnsi="Times New Roman" w:eastAsia="方正仿宋_GBK" w:cs="Times New Roman"/>
          <w:color w:val="000000" w:themeColor="text1"/>
          <w:sz w:val="21"/>
          <w:szCs w:val="21"/>
          <w14:textFill>
            <w14:solidFill>
              <w14:schemeClr w14:val="tx1"/>
            </w14:solidFill>
          </w14:textFill>
        </w:rPr>
        <w:t>规划和自然资源局。</w:t>
      </w:r>
    </w:p>
    <w:p w14:paraId="5A637777">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地址：重庆市南岸区花红路6号2幢</w:t>
      </w:r>
      <w:r>
        <w:rPr>
          <w:rFonts w:hint="eastAsia" w:cs="Times New Roman"/>
          <w:color w:val="000000" w:themeColor="text1"/>
          <w:sz w:val="21"/>
          <w:szCs w:val="21"/>
          <w:lang w:eastAsia="zh-CN"/>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w:t>
      </w:r>
    </w:p>
    <w:p w14:paraId="1321E56D">
      <w:pPr>
        <w:spacing w:line="360" w:lineRule="exact"/>
        <w:ind w:firstLine="420" w:firstLineChars="200"/>
        <w:rPr>
          <w:color w:val="auto"/>
          <w:kern w:val="0"/>
          <w:szCs w:val="21"/>
        </w:rPr>
      </w:pPr>
      <w:r>
        <w:rPr>
          <w:rFonts w:ascii="Times New Roman" w:hAnsi="Times New Roman" w:eastAsia="方正仿宋_GBK" w:cs="Times New Roman"/>
          <w:color w:val="000000" w:themeColor="text1"/>
          <w:sz w:val="21"/>
          <w:szCs w:val="21"/>
          <w14:textFill>
            <w14:solidFill>
              <w14:schemeClr w14:val="tx1"/>
            </w14:solidFill>
          </w14:textFill>
        </w:rPr>
        <w:t>联系人：</w:t>
      </w:r>
      <w:r>
        <w:rPr>
          <w:rFonts w:hint="eastAsia" w:ascii="Times New Roman" w:hAnsi="Times New Roman" w:eastAsia="方正仿宋_GBK" w:cs="Times New Roman"/>
          <w:color w:val="000000" w:themeColor="text1"/>
          <w:sz w:val="21"/>
          <w:szCs w:val="21"/>
          <w14:textFill>
            <w14:solidFill>
              <w14:schemeClr w14:val="tx1"/>
            </w14:solidFill>
          </w14:textFill>
        </w:rPr>
        <w:t>张老师</w:t>
      </w:r>
      <w:r>
        <w:rPr>
          <w:rFonts w:ascii="Times New Roman" w:hAnsi="Times New Roman" w:eastAsia="方正仿宋_GBK" w:cs="Times New Roman"/>
          <w:color w:val="000000" w:themeColor="text1"/>
          <w:sz w:val="21"/>
          <w:szCs w:val="21"/>
          <w14:textFill>
            <w14:solidFill>
              <w14:schemeClr w14:val="tx1"/>
            </w14:solidFill>
          </w14:textFill>
        </w:rPr>
        <w:t>，联系电话</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 xml:space="preserve">023- </w:t>
      </w:r>
      <w:r>
        <w:rPr>
          <w:rFonts w:hint="eastAsia" w:ascii="Times New Roman" w:hAnsi="Times New Roman" w:eastAsia="方正仿宋_GBK" w:cs="Times New Roman"/>
          <w:color w:val="000000" w:themeColor="text1"/>
          <w:sz w:val="21"/>
          <w:szCs w:val="21"/>
          <w14:textFill>
            <w14:solidFill>
              <w14:schemeClr w14:val="tx1"/>
            </w14:solidFill>
          </w14:textFill>
        </w:rPr>
        <w:t>62830010</w:t>
      </w:r>
      <w:r>
        <w:rPr>
          <w:rFonts w:ascii="Times New Roman" w:hAnsi="Times New Roman" w:eastAsia="方正仿宋_GBK" w:cs="Times New Roman"/>
          <w:color w:val="000000" w:themeColor="text1"/>
          <w:sz w:val="21"/>
          <w:szCs w:val="21"/>
          <w14:textFill>
            <w14:solidFill>
              <w14:schemeClr w14:val="tx1"/>
            </w14:solidFill>
          </w14:textFill>
        </w:rPr>
        <w:t>。</w:t>
      </w:r>
    </w:p>
    <w:p w14:paraId="48759F97">
      <w:pPr>
        <w:spacing w:line="360" w:lineRule="exact"/>
        <w:ind w:firstLine="420" w:firstLineChars="200"/>
        <w:rPr>
          <w:rFonts w:hint="eastAsia" w:ascii="Times New Roman" w:hAnsi="Times New Roman" w:eastAsia="方正楷体_GBK" w:cs="方正楷体_GBK"/>
          <w:color w:val="000000" w:themeColor="text1"/>
          <w:kern w:val="0"/>
          <w:sz w:val="21"/>
          <w:szCs w:val="21"/>
          <w14:textFill>
            <w14:solidFill>
              <w14:schemeClr w14:val="tx1"/>
            </w14:solidFill>
          </w14:textFill>
        </w:rPr>
      </w:pPr>
      <w:r>
        <w:rPr>
          <w:rFonts w:hint="eastAsia" w:ascii="Times New Roman" w:hAnsi="Times New Roman" w:eastAsia="方正楷体_GBK" w:cs="方正楷体_GBK"/>
          <w:color w:val="000000" w:themeColor="text1"/>
          <w:kern w:val="0"/>
          <w:sz w:val="21"/>
          <w:szCs w:val="21"/>
          <w14:textFill>
            <w14:solidFill>
              <w14:schemeClr w14:val="tx1"/>
            </w14:solidFill>
          </w14:textFill>
        </w:rPr>
        <w:t>（二）交易平台</w:t>
      </w:r>
    </w:p>
    <w:p w14:paraId="115898A8">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本宗采矿权交易平台为重庆市公共资源交易中心。</w:t>
      </w:r>
    </w:p>
    <w:p w14:paraId="5C050C38">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地址：</w:t>
      </w:r>
      <w:r>
        <w:rPr>
          <w:rFonts w:hint="eastAsia" w:ascii="Times New Roman" w:hAnsi="Times New Roman" w:eastAsia="方正仿宋_GBK" w:cs="Times New Roman"/>
          <w:color w:val="000000" w:themeColor="text1"/>
          <w:sz w:val="21"/>
          <w:szCs w:val="21"/>
          <w14:textFill>
            <w14:solidFill>
              <w14:schemeClr w14:val="tx1"/>
            </w14:solidFill>
          </w14:textFill>
        </w:rPr>
        <w:t>重庆市江北区永平门街14号8-1</w:t>
      </w: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w:t>
      </w:r>
    </w:p>
    <w:p w14:paraId="382CC59F">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联系人：王老师，联系电话</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023-63628117。</w:t>
      </w:r>
    </w:p>
    <w:p w14:paraId="6B1912F7">
      <w:pPr>
        <w:spacing w:line="360" w:lineRule="exact"/>
        <w:ind w:firstLine="420" w:firstLineChars="200"/>
        <w:rPr>
          <w:rFonts w:eastAsia="方正楷体_GBK" w:cs="方正楷体_GBK"/>
          <w:color w:val="auto"/>
          <w:kern w:val="0"/>
          <w:szCs w:val="21"/>
        </w:rPr>
      </w:pPr>
      <w:r>
        <w:rPr>
          <w:rFonts w:hint="eastAsia" w:ascii="Times New Roman" w:hAnsi="Times New Roman" w:eastAsia="方正楷体_GBK" w:cs="方正楷体_GBK"/>
          <w:color w:val="000000" w:themeColor="text1"/>
          <w:kern w:val="0"/>
          <w:sz w:val="21"/>
          <w:szCs w:val="21"/>
          <w14:textFill>
            <w14:solidFill>
              <w14:schemeClr w14:val="tx1"/>
            </w14:solidFill>
          </w14:textFill>
        </w:rPr>
        <w:t>（三）实体CA 证书办理</w:t>
      </w:r>
    </w:p>
    <w:p w14:paraId="7BC3800A">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申请人可在重庆市公共资源交易网CA互认与办理专栏（网址：https://www.cqggzy.com/035/CAenter.html）按照办理须知办理实体CA证书。</w:t>
      </w:r>
    </w:p>
    <w:p w14:paraId="624E62C8">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申请人应妥善保管CA数字证书及其密码，如CA数字证书遗失或者损毁、遗忘或者泄露密码，应及时办理挂失，并重新申领。申请人登记信息有变化的，应及时进行信息变更。</w:t>
      </w:r>
    </w:p>
    <w:p w14:paraId="71228E5D">
      <w:pPr>
        <w:spacing w:line="360" w:lineRule="exact"/>
        <w:ind w:firstLine="420" w:firstLineChars="200"/>
        <w:rPr>
          <w:rFonts w:eastAsia="方正黑体_GBK"/>
          <w:bCs/>
          <w:color w:val="auto"/>
          <w:szCs w:val="21"/>
        </w:rPr>
      </w:pPr>
      <w:r>
        <w:rPr>
          <w:rFonts w:ascii="Times New Roman" w:hAnsi="Times New Roman" w:eastAsia="方正黑体_GBK" w:cs="Times New Roman"/>
          <w:color w:val="000000" w:themeColor="text1"/>
          <w:kern w:val="0"/>
          <w:sz w:val="21"/>
          <w:szCs w:val="21"/>
          <w14:textFill>
            <w14:solidFill>
              <w14:schemeClr w14:val="tx1"/>
            </w14:solidFill>
          </w14:textFill>
        </w:rPr>
        <w:t>三、竞买申请人准入条件</w:t>
      </w:r>
    </w:p>
    <w:p w14:paraId="33598448">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（一）竞买申请人须为营利法人；</w:t>
      </w:r>
    </w:p>
    <w:p w14:paraId="7F689352">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（二）竞买申请人属于以下情形之一的不得参与竞买：</w:t>
      </w:r>
    </w:p>
    <w:p w14:paraId="5A5B439B">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1.在全国矿业权人勘查开采信息管理系统的“</w:t>
      </w:r>
      <w:r>
        <w:rPr>
          <w:rFonts w:ascii="Times New Roman" w:hAnsi="Times New Roman" w:eastAsia="方正仿宋_GBK" w:cs="Times New Roman"/>
          <w:color w:val="000000" w:themeColor="text1"/>
          <w:sz w:val="21"/>
          <w:szCs w:val="21"/>
          <w14:textFill>
            <w14:solidFill>
              <w14:schemeClr w14:val="tx1"/>
            </w14:solidFill>
          </w14:textFill>
        </w:rPr>
        <w:t>矿业权人异常名录</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矿业权严重失信主体</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内的；</w:t>
      </w:r>
    </w:p>
    <w:p w14:paraId="756EFC43">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2.通过</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信用中国</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查询，在自然资源部联合惩戒备忘录或重庆市信用惩戒严重失信主体</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黑名单</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内限制禁止参与矿业权出让的；</w:t>
      </w:r>
    </w:p>
    <w:p w14:paraId="5379ECC8">
      <w:pPr>
        <w:spacing w:line="360" w:lineRule="exact"/>
        <w:ind w:firstLine="420" w:firstLineChars="200"/>
        <w:rPr>
          <w:color w:val="auto"/>
          <w:szCs w:val="21"/>
        </w:rPr>
      </w:pPr>
      <w:r>
        <w:rPr>
          <w:rFonts w:ascii="Times New Roman" w:hAnsi="Times New Roman" w:eastAsia="方正仿宋_GBK" w:cs="Times New Roman"/>
          <w:color w:val="000000" w:themeColor="text1"/>
          <w:sz w:val="21"/>
          <w:szCs w:val="21"/>
          <w14:textFill>
            <w14:solidFill>
              <w14:schemeClr w14:val="tx1"/>
            </w14:solidFill>
          </w14:textFill>
        </w:rPr>
        <w:t>3.被吊销采矿许可证且自吊销之日起未满2年的。</w:t>
      </w:r>
    </w:p>
    <w:p w14:paraId="6B4370EE">
      <w:pPr>
        <w:spacing w:line="360" w:lineRule="exact"/>
        <w:ind w:firstLine="420" w:firstLineChars="200"/>
        <w:rPr>
          <w:rFonts w:ascii="Times New Roman" w:hAnsi="Times New Roman" w:eastAsia="方正黑体_GBK" w:cs="Times New Roman"/>
          <w:color w:val="000000" w:themeColor="text1"/>
          <w:kern w:val="0"/>
          <w:sz w:val="21"/>
          <w:szCs w:val="21"/>
          <w14:textFill>
            <w14:solidFill>
              <w14:schemeClr w14:val="tx1"/>
            </w14:solidFill>
          </w14:textFill>
        </w:rPr>
      </w:pPr>
      <w:r>
        <w:rPr>
          <w:rFonts w:ascii="Times New Roman" w:hAnsi="Times New Roman" w:eastAsia="方正黑体_GBK" w:cs="Times New Roman"/>
          <w:color w:val="000000" w:themeColor="text1"/>
          <w:kern w:val="0"/>
          <w:sz w:val="21"/>
          <w:szCs w:val="21"/>
          <w14:textFill>
            <w14:solidFill>
              <w14:schemeClr w14:val="tx1"/>
            </w14:solidFill>
          </w14:textFill>
        </w:rPr>
        <w:t>四、网上报名申请</w:t>
      </w:r>
    </w:p>
    <w:p w14:paraId="2C4C8299">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本次公开出让的采矿权采取网上报名方式：</w:t>
      </w:r>
    </w:p>
    <w:p w14:paraId="08488455">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（一）报名时限：2025年</w:t>
      </w:r>
      <w:r>
        <w:rPr>
          <w:rFonts w:hint="eastAsia" w:cs="Times New Roman"/>
          <w:color w:val="000000" w:themeColor="text1"/>
          <w:sz w:val="21"/>
          <w:szCs w:val="21"/>
          <w:lang w:val="en-US" w:eastAsia="zh-CN"/>
          <w14:textFill>
            <w14:solidFill>
              <w14:schemeClr w14:val="tx1"/>
            </w14:solidFill>
          </w14:textFill>
        </w:rPr>
        <w:t>10月11日09：00</w:t>
      </w:r>
      <w:r>
        <w:rPr>
          <w:rFonts w:ascii="Times New Roman" w:hAnsi="Times New Roman" w:eastAsia="方正仿宋_GBK" w:cs="Times New Roman"/>
          <w:color w:val="000000" w:themeColor="text1"/>
          <w:sz w:val="21"/>
          <w:szCs w:val="21"/>
          <w14:textFill>
            <w14:solidFill>
              <w14:schemeClr w14:val="tx1"/>
            </w14:solidFill>
          </w14:textFill>
        </w:rPr>
        <w:t>时-</w:t>
      </w:r>
      <w:r>
        <w:rPr>
          <w:rFonts w:hint="eastAsia" w:ascii="Times New Roman" w:hAnsi="Times New Roman" w:eastAsia="方正仿宋_GBK" w:cs="Times New Roman"/>
          <w:color w:val="000000" w:themeColor="text1"/>
          <w:sz w:val="21"/>
          <w:szCs w:val="21"/>
          <w14:textFill>
            <w14:solidFill>
              <w14:schemeClr w14:val="tx1"/>
            </w14:solidFill>
          </w14:textFill>
        </w:rPr>
        <w:t>2025年</w:t>
      </w:r>
      <w:r>
        <w:rPr>
          <w:rFonts w:hint="eastAsia" w:cs="Times New Roman"/>
          <w:color w:val="000000" w:themeColor="text1"/>
          <w:sz w:val="21"/>
          <w:szCs w:val="21"/>
          <w:lang w:val="en-US" w:eastAsia="zh-CN"/>
          <w14:textFill>
            <w14:solidFill>
              <w14:schemeClr w14:val="tx1"/>
            </w14:solidFill>
          </w14:textFill>
        </w:rPr>
        <w:t>11月6日17：00</w:t>
      </w:r>
      <w:r>
        <w:rPr>
          <w:rFonts w:ascii="Times New Roman" w:hAnsi="Times New Roman" w:eastAsia="方正仿宋_GBK" w:cs="Times New Roman"/>
          <w:color w:val="000000" w:themeColor="text1"/>
          <w:sz w:val="21"/>
          <w:szCs w:val="21"/>
          <w14:textFill>
            <w14:solidFill>
              <w14:schemeClr w14:val="tx1"/>
            </w14:solidFill>
          </w14:textFill>
        </w:rPr>
        <w:t>时。</w:t>
      </w:r>
    </w:p>
    <w:p w14:paraId="2BCE6B36">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（二）</w:t>
      </w:r>
      <w:r>
        <w:rPr>
          <w:rFonts w:ascii="Times New Roman" w:hAnsi="Times New Roman" w:eastAsia="方正仿宋_GBK" w:cs="Times New Roman"/>
          <w:color w:val="000000" w:themeColor="text1"/>
          <w:sz w:val="21"/>
          <w:szCs w:val="21"/>
          <w14:textFill>
            <w14:solidFill>
              <w14:schemeClr w14:val="tx1"/>
            </w14:solidFill>
          </w14:textFill>
        </w:rPr>
        <w:t>资料获取：申请人应在报名期限内登录重庆市公共资源交易中心（网址：https://www.cqggzy.com），进入重庆市国有建设用地使用权和矿业权网上交易系统（网址：</w:t>
      </w:r>
      <w:r>
        <w:rPr>
          <w:rFonts w:ascii="Times New Roman" w:hAnsi="Times New Roman" w:eastAsia="方正仿宋_GBK" w:cs="Times New Roman"/>
          <w:color w:val="000000" w:themeColor="text1"/>
          <w:sz w:val="21"/>
          <w:szCs w:val="21"/>
          <w14:textFill>
            <w14:solidFill>
              <w14:schemeClr w14:val="tx1"/>
            </w14:solidFill>
          </w14:textFill>
        </w:rPr>
        <w:fldChar w:fldCharType="begin"/>
      </w:r>
      <w:r>
        <w:rPr>
          <w:rFonts w:ascii="Times New Roman" w:hAnsi="Times New Roman" w:eastAsia="方正仿宋_GBK" w:cs="Times New Roman"/>
          <w:color w:val="000000" w:themeColor="text1"/>
          <w:sz w:val="21"/>
          <w:szCs w:val="21"/>
          <w14:textFill>
            <w14:solidFill>
              <w14:schemeClr w14:val="tx1"/>
            </w14:solidFill>
          </w14:textFill>
        </w:rPr>
        <w:instrText xml:space="preserve"> HYPERLINK "https://td.cqggzy.com/），查阅、下载出让资料。" </w:instrText>
      </w:r>
      <w:r>
        <w:rPr>
          <w:rFonts w:ascii="Times New Roman" w:hAnsi="Times New Roman" w:eastAsia="方正仿宋_GBK" w:cs="Times New Roman"/>
          <w:color w:val="000000" w:themeColor="text1"/>
          <w:sz w:val="21"/>
          <w:szCs w:val="21"/>
          <w14:textFill>
            <w14:solidFill>
              <w14:schemeClr w14:val="tx1"/>
            </w14:solidFill>
          </w14:textFill>
        </w:rPr>
        <w:fldChar w:fldCharType="separate"/>
      </w:r>
      <w:r>
        <w:rPr>
          <w:rFonts w:ascii="Times New Roman" w:hAnsi="Times New Roman" w:eastAsia="方正仿宋_GBK" w:cs="Times New Roman"/>
          <w:color w:val="000000" w:themeColor="text1"/>
          <w:sz w:val="21"/>
          <w:szCs w:val="21"/>
          <w14:textFill>
            <w14:solidFill>
              <w14:schemeClr w14:val="tx1"/>
            </w14:solidFill>
          </w14:textFill>
        </w:rPr>
        <w:t>https://td.cqggzy.com/），查阅、下载出让资料。</w:t>
      </w:r>
      <w:r>
        <w:rPr>
          <w:rFonts w:ascii="Times New Roman" w:hAnsi="Times New Roman" w:eastAsia="方正仿宋_GBK" w:cs="Times New Roman"/>
          <w:color w:val="000000" w:themeColor="text1"/>
          <w:sz w:val="21"/>
          <w:szCs w:val="21"/>
          <w14:textFill>
            <w14:solidFill>
              <w14:schemeClr w14:val="tx1"/>
            </w14:solidFill>
          </w14:textFill>
        </w:rPr>
        <w:fldChar w:fldCharType="end"/>
      </w:r>
    </w:p>
    <w:p w14:paraId="7CFE5468">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（三）申请资料</w:t>
      </w:r>
    </w:p>
    <w:p w14:paraId="25B1A5BB">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1.《竞买申请书》（原件1份）（附件</w:t>
      </w:r>
      <w:r>
        <w:rPr>
          <w:rFonts w:hint="eastAsia" w:ascii="Times New Roman" w:hAnsi="Times New Roman" w:eastAsia="方正仿宋_GBK" w:cs="Times New Roman"/>
          <w:color w:val="000000" w:themeColor="text1"/>
          <w:sz w:val="21"/>
          <w:szCs w:val="21"/>
          <w14:textFill>
            <w14:solidFill>
              <w14:schemeClr w14:val="tx1"/>
            </w14:solidFill>
          </w14:textFill>
        </w:rPr>
        <w:t>1</w:t>
      </w: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w:t>
      </w:r>
    </w:p>
    <w:p w14:paraId="0D3BA1A9">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2.工商营业执照副本（复印件1份）；</w:t>
      </w:r>
    </w:p>
    <w:p w14:paraId="05B501AE">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3.法人身份证明（复印件1份）；</w:t>
      </w:r>
    </w:p>
    <w:p w14:paraId="769F42C2">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4.法人不能亲自参加的应提供《授权委托书》（原件1份）（附件</w:t>
      </w:r>
      <w:r>
        <w:rPr>
          <w:rFonts w:hint="eastAsia" w:ascii="Times New Roman" w:hAnsi="Times New Roman" w:eastAsia="方正仿宋_GBK" w:cs="Times New Roman"/>
          <w:color w:val="000000" w:themeColor="text1"/>
          <w:sz w:val="21"/>
          <w:szCs w:val="21"/>
          <w14:textFill>
            <w14:solidFill>
              <w14:schemeClr w14:val="tx1"/>
            </w14:solidFill>
          </w14:textFill>
        </w:rPr>
        <w:t>2</w:t>
      </w:r>
      <w:r>
        <w:rPr>
          <w:rFonts w:ascii="Times New Roman" w:hAnsi="Times New Roman" w:eastAsia="方正仿宋_GBK" w:cs="Times New Roman"/>
          <w:color w:val="000000" w:themeColor="text1"/>
          <w:sz w:val="21"/>
          <w:szCs w:val="21"/>
          <w14:textFill>
            <w14:solidFill>
              <w14:schemeClr w14:val="tx1"/>
            </w14:solidFill>
          </w14:textFill>
        </w:rPr>
        <w:t>）；</w:t>
      </w:r>
    </w:p>
    <w:p w14:paraId="206F639F">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5.受托人身份证明（复印件1份）；</w:t>
      </w:r>
    </w:p>
    <w:p w14:paraId="30AA16BF">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6.竞买申请人签署意见的《出让文件》（原件1份）。</w:t>
      </w:r>
    </w:p>
    <w:p w14:paraId="4A538605">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（四）网上报名</w:t>
      </w:r>
    </w:p>
    <w:p w14:paraId="7B46A21A">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14:paraId="693E892F">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2.竞买申请人应当取得有效数字证书，方能参与网上交易竞买活动。详情请登录网上交易系统网站查看数字证书办理指南或咨询CA 证书办理机构。</w:t>
      </w:r>
    </w:p>
    <w:p w14:paraId="372B62B8">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14:paraId="4B0D1FF9">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（五）保证金的交纳及相关规定</w:t>
      </w:r>
    </w:p>
    <w:p w14:paraId="3EC23BC9">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1.竞买保证金由申请人自行支付，不得代交。</w:t>
      </w:r>
    </w:p>
    <w:p w14:paraId="4805F314">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7F66DFCE">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申请人每次提交竞买申请及交纳竞买保证金只对应一宗采矿权，如申请人同时竞买多宗采矿权的，应分别提交申请并按时足额交纳竞买保证金。</w:t>
      </w:r>
    </w:p>
    <w:p w14:paraId="2502FF71">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3.申请人应于报名期限内交纳竞买保证金人民币6万元（大写陆万元</w:t>
      </w: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整</w:t>
      </w:r>
      <w:r>
        <w:rPr>
          <w:rFonts w:ascii="Times New Roman" w:hAnsi="Times New Roman" w:eastAsia="方正仿宋_GBK" w:cs="Times New Roman"/>
          <w:color w:val="000000" w:themeColor="text1"/>
          <w:sz w:val="21"/>
          <w:szCs w:val="21"/>
          <w14:textFill>
            <w14:solidFill>
              <w14:schemeClr w14:val="tx1"/>
            </w14:solidFill>
          </w14:textFill>
        </w:rPr>
        <w:t>），竞买保证金交纳时间以银行确认的到账时间为准。竞买保证金到账截止时间为：</w:t>
      </w:r>
      <w:r>
        <w:rPr>
          <w:rFonts w:hint="eastAsia" w:cs="Times New Roman"/>
          <w:color w:val="000000" w:themeColor="text1"/>
          <w:sz w:val="21"/>
          <w:szCs w:val="21"/>
          <w:lang w:val="en-US" w:eastAsia="zh-CN"/>
          <w14:textFill>
            <w14:solidFill>
              <w14:schemeClr w14:val="tx1"/>
            </w14:solidFill>
          </w14:textFill>
        </w:rPr>
        <w:t>2025</w:t>
      </w:r>
      <w:r>
        <w:rPr>
          <w:rFonts w:hint="eastAsia" w:ascii="Times New Roman" w:hAnsi="Times New Roman" w:eastAsia="方正仿宋_GBK" w:cs="Times New Roman"/>
          <w:color w:val="000000" w:themeColor="text1"/>
          <w:sz w:val="21"/>
          <w:szCs w:val="21"/>
          <w14:textFill>
            <w14:solidFill>
              <w14:schemeClr w14:val="tx1"/>
            </w14:solidFill>
          </w14:textFill>
        </w:rPr>
        <w:t>年</w:t>
      </w:r>
      <w:r>
        <w:rPr>
          <w:rFonts w:hint="eastAsia" w:cs="Times New Roman"/>
          <w:color w:val="000000" w:themeColor="text1"/>
          <w:sz w:val="21"/>
          <w:szCs w:val="21"/>
          <w:lang w:val="en-US" w:eastAsia="zh-CN"/>
          <w14:textFill>
            <w14:solidFill>
              <w14:schemeClr w14:val="tx1"/>
            </w14:solidFill>
          </w14:textFill>
        </w:rPr>
        <w:t>11月6日17：00</w:t>
      </w:r>
      <w:r>
        <w:rPr>
          <w:rFonts w:hint="eastAsia" w:ascii="Times New Roman" w:hAnsi="Times New Roman" w:eastAsia="方正仿宋_GBK" w:cs="Times New Roman"/>
          <w:color w:val="000000" w:themeColor="text1"/>
          <w:sz w:val="21"/>
          <w:szCs w:val="21"/>
          <w14:textFill>
            <w14:solidFill>
              <w14:schemeClr w14:val="tx1"/>
            </w14:solidFill>
          </w14:textFill>
        </w:rPr>
        <w:t>时</w:t>
      </w:r>
      <w:r>
        <w:rPr>
          <w:rFonts w:ascii="Times New Roman" w:hAnsi="Times New Roman" w:eastAsia="方正仿宋_GBK" w:cs="Times New Roman"/>
          <w:color w:val="000000" w:themeColor="text1"/>
          <w:sz w:val="21"/>
          <w:szCs w:val="21"/>
          <w14:textFill>
            <w14:solidFill>
              <w14:schemeClr w14:val="tx1"/>
            </w14:solidFill>
          </w14:textFill>
        </w:rPr>
        <w:t>。</w:t>
      </w:r>
    </w:p>
    <w:p w14:paraId="64E451D4">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为避免因竞买保证金到账时间延误，影响申请人顺利获取交易竞买资格，建议申请人在报名期限截止时间的1日前交纳竞买保证金。</w:t>
      </w:r>
    </w:p>
    <w:p w14:paraId="60AA1E7F">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4.保证金账户只接受银行转账或电汇方式，不接受现金或现金汇款。</w:t>
      </w:r>
    </w:p>
    <w:p w14:paraId="03635E98">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5.申请人在规定时间内足额交纳了竞买保证金至指定账户的（以保证金到达指定账户时间为准），重庆市国有建设用地使用权和矿业权网上交易系统将自动颁发《保证金到账确认书》。</w:t>
      </w:r>
    </w:p>
    <w:p w14:paraId="1D6EE05D">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000000" w:themeColor="text1"/>
          <w:sz w:val="21"/>
          <w:szCs w:val="21"/>
          <w14:textFill>
            <w14:solidFill>
              <w14:schemeClr w14:val="tx1"/>
            </w14:solidFill>
          </w14:textFill>
        </w:rPr>
        <w:t>如未竞得，在成交日之后1个工作日内退还保证金及银行同期活期存款利息。</w:t>
      </w:r>
    </w:p>
    <w:p w14:paraId="745873EB">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六）网上报名资格审核相关程序：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58DCEB07">
      <w:pPr>
        <w:spacing w:line="360" w:lineRule="exact"/>
        <w:ind w:firstLine="420" w:firstLineChars="200"/>
        <w:rPr>
          <w:rFonts w:ascii="Times New Roman" w:hAnsi="Times New Roman" w:eastAsia="方正黑体_GBK" w:cs="Times New Roman"/>
          <w:color w:val="000000" w:themeColor="text1"/>
          <w:kern w:val="0"/>
          <w:sz w:val="21"/>
          <w:szCs w:val="21"/>
          <w14:textFill>
            <w14:solidFill>
              <w14:schemeClr w14:val="tx1"/>
            </w14:solidFill>
          </w14:textFill>
        </w:rPr>
      </w:pPr>
      <w:r>
        <w:rPr>
          <w:rFonts w:ascii="Times New Roman" w:hAnsi="Times New Roman" w:eastAsia="方正黑体_GBK" w:cs="Times New Roman"/>
          <w:color w:val="000000" w:themeColor="text1"/>
          <w:kern w:val="0"/>
          <w:sz w:val="21"/>
          <w:szCs w:val="21"/>
          <w14:textFill>
            <w14:solidFill>
              <w14:schemeClr w14:val="tx1"/>
            </w14:solidFill>
          </w14:textFill>
        </w:rPr>
        <w:t>五、确定竞得人的标准和方法</w:t>
      </w:r>
    </w:p>
    <w:p w14:paraId="08DD3AA0">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（一）网上挂牌时间：2025年</w:t>
      </w:r>
      <w:r>
        <w:rPr>
          <w:rFonts w:hint="eastAsia" w:cs="Times New Roman"/>
          <w:color w:val="000000" w:themeColor="text1"/>
          <w:sz w:val="21"/>
          <w:szCs w:val="21"/>
          <w:lang w:val="en-US" w:eastAsia="zh-CN"/>
          <w14:textFill>
            <w14:solidFill>
              <w14:schemeClr w14:val="tx1"/>
            </w14:solidFill>
          </w14:textFill>
        </w:rPr>
        <w:t>11月7日09：00</w:t>
      </w:r>
      <w:r>
        <w:rPr>
          <w:rFonts w:ascii="Times New Roman" w:hAnsi="Times New Roman" w:eastAsia="方正仿宋_GBK" w:cs="Times New Roman"/>
          <w:color w:val="000000" w:themeColor="text1"/>
          <w:sz w:val="21"/>
          <w:szCs w:val="21"/>
          <w14:textFill>
            <w14:solidFill>
              <w14:schemeClr w14:val="tx1"/>
            </w14:solidFill>
          </w14:textFill>
        </w:rPr>
        <w:t>时-</w:t>
      </w:r>
      <w:r>
        <w:rPr>
          <w:rFonts w:hint="eastAsia" w:ascii="Times New Roman" w:hAnsi="Times New Roman" w:eastAsia="方正仿宋_GBK" w:cs="Times New Roman"/>
          <w:color w:val="000000" w:themeColor="text1"/>
          <w:sz w:val="21"/>
          <w:szCs w:val="21"/>
          <w14:textFill>
            <w14:solidFill>
              <w14:schemeClr w14:val="tx1"/>
            </w14:solidFill>
          </w14:textFill>
        </w:rPr>
        <w:t>2025年</w:t>
      </w:r>
      <w:r>
        <w:rPr>
          <w:rFonts w:hint="eastAsia" w:cs="Times New Roman"/>
          <w:color w:val="000000" w:themeColor="text1"/>
          <w:sz w:val="21"/>
          <w:szCs w:val="21"/>
          <w:lang w:val="en-US" w:eastAsia="zh-CN"/>
          <w14:textFill>
            <w14:solidFill>
              <w14:schemeClr w14:val="tx1"/>
            </w14:solidFill>
          </w14:textFill>
        </w:rPr>
        <w:t>11月20日17：00</w:t>
      </w:r>
      <w:r>
        <w:rPr>
          <w:rFonts w:ascii="Times New Roman" w:hAnsi="Times New Roman" w:eastAsia="方正仿宋_GBK" w:cs="Times New Roman"/>
          <w:color w:val="000000" w:themeColor="text1"/>
          <w:sz w:val="21"/>
          <w:szCs w:val="21"/>
          <w14:textFill>
            <w14:solidFill>
              <w14:schemeClr w14:val="tx1"/>
            </w14:solidFill>
          </w14:textFill>
        </w:rPr>
        <w:t>时</w:t>
      </w:r>
    </w:p>
    <w:p w14:paraId="7D149D5A">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（二）网上挂牌交易：</w:t>
      </w:r>
    </w:p>
    <w:p w14:paraId="5B91A7FB">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1.本次网上挂牌出让未设置底价，采用网上增价报价的方式，挂牌起始价为出让收益起始价，增</w:t>
      </w:r>
      <w:r>
        <w:rPr>
          <w:rFonts w:hint="eastAsia" w:ascii="Times New Roman" w:hAnsi="Times New Roman" w:eastAsia="方正仿宋_GBK" w:cs="Times New Roman"/>
          <w:color w:val="000000" w:themeColor="text1"/>
          <w:sz w:val="21"/>
          <w:szCs w:val="21"/>
          <w14:textFill>
            <w14:solidFill>
              <w14:schemeClr w14:val="tx1"/>
            </w14:solidFill>
          </w14:textFill>
        </w:rPr>
        <w:t>加</w:t>
      </w:r>
      <w:r>
        <w:rPr>
          <w:rFonts w:ascii="Times New Roman" w:hAnsi="Times New Roman" w:eastAsia="方正仿宋_GBK" w:cs="Times New Roman"/>
          <w:color w:val="000000" w:themeColor="text1"/>
          <w:sz w:val="21"/>
          <w:szCs w:val="21"/>
          <w14:textFill>
            <w14:solidFill>
              <w14:schemeClr w14:val="tx1"/>
            </w14:solidFill>
          </w14:textFill>
        </w:rPr>
        <w:t>幅度为</w:t>
      </w:r>
      <w:r>
        <w:rPr>
          <w:rFonts w:hint="eastAsia" w:ascii="Times New Roman" w:hAnsi="Times New Roman" w:eastAsia="方正仿宋_GBK" w:cs="Times New Roman"/>
          <w:color w:val="000000" w:themeColor="text1"/>
          <w:sz w:val="21"/>
          <w:szCs w:val="21"/>
          <w14:textFill>
            <w14:solidFill>
              <w14:schemeClr w14:val="tx1"/>
            </w14:solidFill>
          </w14:textFill>
        </w:rPr>
        <w:t>1</w:t>
      </w:r>
      <w:r>
        <w:rPr>
          <w:rFonts w:ascii="Times New Roman" w:hAnsi="Times New Roman" w:eastAsia="方正仿宋_GBK" w:cs="Times New Roman"/>
          <w:color w:val="000000" w:themeColor="text1"/>
          <w:sz w:val="21"/>
          <w:szCs w:val="21"/>
          <w14:textFill>
            <w14:solidFill>
              <w14:schemeClr w14:val="tx1"/>
            </w14:solidFill>
          </w14:textFill>
        </w:rPr>
        <w:t>万元或</w:t>
      </w:r>
      <w:r>
        <w:rPr>
          <w:rFonts w:hint="eastAsia" w:ascii="Times New Roman" w:hAnsi="Times New Roman" w:eastAsia="方正仿宋_GBK" w:cs="Times New Roman"/>
          <w:color w:val="000000" w:themeColor="text1"/>
          <w:sz w:val="21"/>
          <w:szCs w:val="21"/>
          <w14:textFill>
            <w14:solidFill>
              <w14:schemeClr w14:val="tx1"/>
            </w14:solidFill>
          </w14:textFill>
        </w:rPr>
        <w:t>1</w:t>
      </w:r>
      <w:r>
        <w:rPr>
          <w:rFonts w:ascii="Times New Roman" w:hAnsi="Times New Roman" w:eastAsia="方正仿宋_GBK" w:cs="Times New Roman"/>
          <w:color w:val="000000" w:themeColor="text1"/>
          <w:sz w:val="21"/>
          <w:szCs w:val="21"/>
          <w14:textFill>
            <w14:solidFill>
              <w14:schemeClr w14:val="tx1"/>
            </w14:solidFill>
          </w14:textFill>
        </w:rPr>
        <w:t>万元的整数倍，按照价高者得原则确定竞得人。</w:t>
      </w:r>
    </w:p>
    <w:p w14:paraId="2470C78B">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2.获得竞买资格的竞买人通过网上交易系统进行报价，初次报价不得低于起始价，初次报价后的每次报价应当比当前报价增加至少1个增价幅度。竞买人应当谨慎报价，报价一经提交，不得修改或撤回。</w:t>
      </w:r>
    </w:p>
    <w:p w14:paraId="5BD831C3">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3.符合相关条件的报价，交易系统予以接受，并实时公布。</w:t>
      </w:r>
    </w:p>
    <w:p w14:paraId="118AAB61">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4.网上挂牌报价时间截止时无人提交有效报价的，网上挂牌不成交，系统自动终止该宗矿业权网上挂牌活动。</w:t>
      </w:r>
    </w:p>
    <w:p w14:paraId="363AE759">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5.网上挂牌报价时间截止时只有1个有效竞买人报名并报价的，则该竞买人为竞得入选人。</w:t>
      </w:r>
    </w:p>
    <w:p w14:paraId="4BC71301">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6.网上挂牌报价时间截止时，有2个及以上竞买人报名，且有竞买人提交有效报价的。系统进入</w:t>
      </w:r>
      <w:r>
        <w:rPr>
          <w:rFonts w:hint="eastAsia" w:ascii="Times New Roman" w:hAnsi="Times New Roman" w:eastAsia="方正仿宋_GBK" w:cs="Times New Roman"/>
          <w:color w:val="000000" w:themeColor="text1"/>
          <w:sz w:val="21"/>
          <w:szCs w:val="21"/>
          <w14:textFill>
            <w14:solidFill>
              <w14:schemeClr w14:val="tx1"/>
            </w14:solidFill>
          </w14:textFill>
        </w:rPr>
        <w:t>10</w:t>
      </w:r>
      <w:r>
        <w:rPr>
          <w:rFonts w:ascii="Times New Roman" w:hAnsi="Times New Roman" w:eastAsia="方正仿宋_GBK" w:cs="Times New Roman"/>
          <w:color w:val="000000" w:themeColor="text1"/>
          <w:sz w:val="21"/>
          <w:szCs w:val="21"/>
          <w14:textFill>
            <w14:solidFill>
              <w14:schemeClr w14:val="tx1"/>
            </w14:solidFill>
          </w14:textFill>
        </w:rPr>
        <w:t>分钟询问期，若无竞买人继续竞价，则挂牌活动结束，报价最高者为竞得入选人。若还有继续竞价的，则转入限时竞价阶段。在询问期内同意继续竞价的所有有效竞买人均可在挂牌竞价阶段内参加限时竞价。</w:t>
      </w:r>
    </w:p>
    <w:p w14:paraId="03C66E0B">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7.限时竞价阶段以4分钟倒计时为竞价时限，如在4分钟倒计时内有新的报价，网上交易系统即从接受新的报价起再重新倒计时4分钟。</w:t>
      </w:r>
    </w:p>
    <w:p w14:paraId="1CA8B2EE">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8.4分钟倒计时截止无新的报价，则挂牌活动结束，报价最高者为竞得入选人。</w:t>
      </w:r>
    </w:p>
    <w:p w14:paraId="17DB6614">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9.网上挂牌结束时，网上交易系统将自动关闭报价通道，并公布竞价结果同时网上交易系统将向竞得入选人自动核发《竞得入选人通知书》。</w:t>
      </w:r>
    </w:p>
    <w:p w14:paraId="6C0DE024">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（三）成交确认书签订：</w:t>
      </w:r>
      <w:r>
        <w:rPr>
          <w:rFonts w:ascii="Times New Roman" w:hAnsi="Times New Roman" w:eastAsia="方正仿宋_GBK" w:cs="Times New Roman"/>
          <w:color w:val="000000" w:themeColor="text1"/>
          <w:sz w:val="21"/>
          <w:szCs w:val="21"/>
          <w14:textFill>
            <w14:solidFill>
              <w14:schemeClr w14:val="tx1"/>
            </w14:solidFill>
          </w14:textFill>
        </w:rPr>
        <w:t>该宗采矿权网上交易实行竞买资格前审</w:t>
      </w:r>
      <w:r>
        <w:rPr>
          <w:rFonts w:hint="eastAsia" w:ascii="Times New Roman" w:hAnsi="Times New Roman" w:eastAsia="方正仿宋_GBK" w:cs="Times New Roman"/>
          <w:color w:val="000000" w:themeColor="text1"/>
          <w:sz w:val="21"/>
          <w:szCs w:val="21"/>
          <w14:textFill>
            <w14:solidFill>
              <w14:schemeClr w14:val="tx1"/>
            </w14:solidFill>
          </w14:textFill>
        </w:rPr>
        <w:t>制度</w:t>
      </w:r>
      <w:r>
        <w:rPr>
          <w:rFonts w:ascii="Times New Roman" w:hAnsi="Times New Roman" w:eastAsia="方正仿宋_GBK" w:cs="Times New Roman"/>
          <w:color w:val="000000" w:themeColor="text1"/>
          <w:sz w:val="21"/>
          <w:szCs w:val="21"/>
          <w14:textFill>
            <w14:solidFill>
              <w14:schemeClr w14:val="tx1"/>
            </w14:solidFill>
          </w14:textFill>
        </w:rPr>
        <w:t>，竞得入选人须在竞价完成后2个工作日内持《竞得入选人通知书》及报名资料纸质件与重庆市公共资源交易中心签订《采矿权出让成交确认书》。</w:t>
      </w:r>
    </w:p>
    <w:p w14:paraId="60D5E8B4">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（四）成交公示：</w:t>
      </w:r>
      <w:r>
        <w:rPr>
          <w:rFonts w:ascii="Times New Roman" w:hAnsi="Times New Roman" w:eastAsia="方正仿宋_GBK" w:cs="Times New Roman"/>
          <w:color w:val="000000" w:themeColor="text1"/>
          <w:sz w:val="21"/>
          <w:szCs w:val="21"/>
          <w14:textFill>
            <w14:solidFill>
              <w14:schemeClr w14:val="tx1"/>
            </w14:solidFill>
          </w14:textFill>
        </w:rPr>
        <w:t>挂牌成交后的竞得人按规定即时签订《成交确认书》，成交结果在相关网站公示10个工作日。</w:t>
      </w:r>
    </w:p>
    <w:p w14:paraId="71D50870">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（五）网上挂牌程序及竞得方式按照国家及重庆市有关规定执行。</w:t>
      </w:r>
      <w:r>
        <w:rPr>
          <w:rFonts w:ascii="Times New Roman" w:hAnsi="Times New Roman" w:eastAsia="方正仿宋_GBK" w:cs="Times New Roman"/>
          <w:color w:val="000000" w:themeColor="text1"/>
          <w:sz w:val="21"/>
          <w:szCs w:val="21"/>
          <w14:textFill>
            <w14:solidFill>
              <w14:schemeClr w14:val="tx1"/>
            </w14:solidFill>
          </w14:textFill>
        </w:rPr>
        <w:t>如在挂牌程序中，本采矿权因监管部门要求需终止交易行为的，在告知竞买人后，退还采矿权竞买人已交纳的竞买保证金。</w:t>
      </w:r>
    </w:p>
    <w:p w14:paraId="26E3623C">
      <w:pPr>
        <w:spacing w:line="360" w:lineRule="exact"/>
        <w:ind w:firstLine="420" w:firstLineChars="200"/>
        <w:rPr>
          <w:rFonts w:ascii="Times New Roman" w:hAnsi="Times New Roman" w:eastAsia="方正黑体_GBK" w:cs="Times New Roman"/>
          <w:color w:val="000000" w:themeColor="text1"/>
          <w:kern w:val="0"/>
          <w:sz w:val="21"/>
          <w:szCs w:val="21"/>
          <w14:textFill>
            <w14:solidFill>
              <w14:schemeClr w14:val="tx1"/>
            </w14:solidFill>
          </w14:textFill>
        </w:rPr>
      </w:pPr>
      <w:r>
        <w:rPr>
          <w:rFonts w:ascii="Times New Roman" w:hAnsi="Times New Roman" w:eastAsia="方正黑体_GBK" w:cs="Times New Roman"/>
          <w:color w:val="000000" w:themeColor="text1"/>
          <w:kern w:val="0"/>
          <w:sz w:val="21"/>
          <w:szCs w:val="21"/>
          <w14:textFill>
            <w14:solidFill>
              <w14:schemeClr w14:val="tx1"/>
            </w14:solidFill>
          </w14:textFill>
        </w:rPr>
        <w:t>六、出让收益的缴纳</w:t>
      </w:r>
    </w:p>
    <w:p w14:paraId="11484864">
      <w:pPr>
        <w:spacing w:line="360" w:lineRule="exact"/>
        <w:ind w:firstLine="420" w:firstLineChars="200"/>
        <w:rPr>
          <w:color w:val="auto"/>
          <w:szCs w:val="21"/>
        </w:rPr>
      </w:pPr>
      <w:r>
        <w:rPr>
          <w:rFonts w:hint="eastAsia" w:ascii="Times New Roman" w:hAnsi="Times New Roman" w:eastAsia="方正仿宋_GBK" w:cs="Times New Roman"/>
          <w:color w:val="000000" w:themeColor="text1"/>
          <w:sz w:val="21"/>
          <w:szCs w:val="21"/>
          <w14:textFill>
            <w14:solidFill>
              <w14:schemeClr w14:val="tx1"/>
            </w14:solidFill>
          </w14:textFill>
        </w:rPr>
        <w:t>该宗采矿权按照出让收益率形式征收出让收益，在出让合同签订后一次性缴纳成交价部分；在矿山开采时，按矿业权出让收益率（水温低于60℃的地热为3.6%）逐年缴纳采矿阶段出让收益（收益率部分）（逐年征收的采矿权出让收益=年度矿产品销售收入×矿业权出让收益率）。</w:t>
      </w:r>
    </w:p>
    <w:p w14:paraId="295B88A2">
      <w:pPr>
        <w:spacing w:line="360" w:lineRule="exact"/>
        <w:ind w:firstLine="420" w:firstLineChars="200"/>
        <w:rPr>
          <w:rFonts w:eastAsia="方正黑体_GBK"/>
          <w:bCs/>
          <w:color w:val="auto"/>
          <w:szCs w:val="21"/>
        </w:rPr>
      </w:pPr>
      <w:r>
        <w:rPr>
          <w:rFonts w:ascii="Times New Roman" w:hAnsi="Times New Roman" w:eastAsia="方正黑体_GBK" w:cs="Times New Roman"/>
          <w:color w:val="000000" w:themeColor="text1"/>
          <w:kern w:val="0"/>
          <w:sz w:val="21"/>
          <w:szCs w:val="21"/>
          <w14:textFill>
            <w14:solidFill>
              <w14:schemeClr w14:val="tx1"/>
            </w14:solidFill>
          </w14:textFill>
        </w:rPr>
        <w:t>七、风险提示</w:t>
      </w:r>
    </w:p>
    <w:p w14:paraId="05E24DB1">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一）采矿权投资存在有不可预计的风险，包括出让文件所表述的有关矿产资源情况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000000" w:themeColor="text1"/>
          <w:sz w:val="21"/>
          <w:szCs w:val="21"/>
          <w14:textFill>
            <w14:solidFill>
              <w14:schemeClr w14:val="tx1"/>
            </w14:solidFill>
          </w14:textFill>
        </w:rPr>
        <w:t>拟出让</w:t>
      </w:r>
      <w:r>
        <w:rPr>
          <w:rFonts w:ascii="Times New Roman" w:hAnsi="Times New Roman" w:eastAsia="方正仿宋_GBK" w:cs="Times New Roman"/>
          <w:color w:val="000000" w:themeColor="text1"/>
          <w:sz w:val="21"/>
          <w:szCs w:val="21"/>
          <w14:textFill>
            <w14:solidFill>
              <w14:schemeClr w14:val="tx1"/>
            </w14:solidFill>
          </w14:textFill>
        </w:rPr>
        <w:t>采矿权现状和出让文件已完全认可并自愿承担所有风险。</w:t>
      </w:r>
    </w:p>
    <w:p w14:paraId="0FB7CB2C">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（二）</w:t>
      </w:r>
      <w:r>
        <w:rPr>
          <w:rFonts w:hint="eastAsia" w:ascii="Times New Roman" w:hAnsi="Times New Roman" w:eastAsia="方正仿宋_GBK" w:cs="Times New Roman"/>
          <w:color w:val="000000" w:themeColor="text1"/>
          <w:sz w:val="21"/>
          <w:szCs w:val="21"/>
          <w14:textFill>
            <w14:solidFill>
              <w14:schemeClr w14:val="tx1"/>
            </w14:solidFill>
          </w14:textFill>
        </w:rPr>
        <w:t>本地热为新设矿山，出让的采矿权不包括土地使用权及其他物权，其开采井口位于</w:t>
      </w:r>
      <w:r>
        <w:rPr>
          <w:rFonts w:hint="eastAsia" w:cs="Times New Roman"/>
          <w:color w:val="000000" w:themeColor="text1"/>
          <w:sz w:val="21"/>
          <w:szCs w:val="21"/>
          <w:lang w:eastAsia="zh-CN"/>
          <w14:textFill>
            <w14:solidFill>
              <w14:schemeClr w14:val="tx1"/>
            </w14:solidFill>
          </w14:textFill>
        </w:rPr>
        <w:t>南岸区海棠晓月</w:t>
      </w:r>
      <w:r>
        <w:rPr>
          <w:rFonts w:hint="eastAsia" w:ascii="Times New Roman" w:hAnsi="Times New Roman" w:eastAsia="方正仿宋_GBK" w:cs="Times New Roman"/>
          <w:color w:val="000000" w:themeColor="text1"/>
          <w:sz w:val="21"/>
          <w:szCs w:val="21"/>
          <w14:textFill>
            <w14:solidFill>
              <w14:schemeClr w14:val="tx1"/>
            </w14:solidFill>
          </w14:textFill>
        </w:rPr>
        <w:t>温泉的存量国有建设用地宗地范围内，开采井口、生产生活及办公区、进场道路等其他设施用地采取整体租赁方式保障。有关该宗采矿权的用水、用电、公路、环保、基础设施及租赁等工作，由竞得人自行负责解决并依法完善相关手续。</w:t>
      </w:r>
    </w:p>
    <w:p w14:paraId="63ED7819">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（三）若竞得人竞得该宗采矿权后，在办理采矿登记前进行安全、环境评价等认定为不适宜开采的，该宗采矿权按不成交处理。</w:t>
      </w:r>
    </w:p>
    <w:p w14:paraId="3561354E">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（四）网络安全风险提示</w:t>
      </w:r>
      <w:r>
        <w:rPr>
          <w:rFonts w:hint="eastAsia" w:ascii="Times New Roman" w:hAnsi="Times New Roman" w:eastAsia="方正仿宋_GBK" w:cs="Times New Roman"/>
          <w:color w:val="000000" w:themeColor="text1"/>
          <w:sz w:val="21"/>
          <w:szCs w:val="21"/>
          <w14:textFill>
            <w14:solidFill>
              <w14:schemeClr w14:val="tx1"/>
            </w14:solidFill>
          </w14:textFill>
        </w:rPr>
        <w:t>。</w:t>
      </w:r>
      <w:r>
        <w:rPr>
          <w:rFonts w:ascii="Times New Roman" w:hAnsi="Times New Roman" w:eastAsia="方正仿宋_GBK" w:cs="Times New Roman"/>
          <w:color w:val="000000" w:themeColor="text1"/>
          <w:sz w:val="21"/>
          <w:szCs w:val="21"/>
          <w14:textFill>
            <w14:solidFill>
              <w14:schemeClr w14:val="tx1"/>
            </w14:solidFill>
          </w14:textFill>
        </w:rPr>
        <w:t>申请人或竞得人网上报名行为所产生的法律后果，由申请人或竞得人自行承担。</w:t>
      </w:r>
    </w:p>
    <w:p w14:paraId="70718633">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1.操作系统请使用Win10及以上；浏览器请使用Edge浏览器，其它操作系统与浏览器可能会影响申请人正常参与网上报名活动。因浏览器使用不当引致的后果由申请人自行承担。</w:t>
      </w:r>
    </w:p>
    <w:p w14:paraId="10F0DCB6">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2.申请人应妥善保管数字证书及其密码，凡在互联网使用数字证书登录交易系统所实施的行为，视为申请人的真实意思表示或经过申请人的合法授权，行为所产生的法律后果及责任由申请人自行承担。</w:t>
      </w:r>
    </w:p>
    <w:p w14:paraId="7DDE0258">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因网上交易系统出现故障，造成采矿权网上交易出现异常情况的，按照《重庆市国有建设用地使用权和矿业权网上交易应急处置暂行规定》的有关规定进行处置。</w:t>
      </w:r>
    </w:p>
    <w:p w14:paraId="61D8F9AE">
      <w:pPr>
        <w:spacing w:line="360" w:lineRule="exact"/>
        <w:ind w:firstLine="420" w:firstLineChars="200"/>
        <w:rPr>
          <w:rFonts w:ascii="Times New Roman" w:hAnsi="Times New Roman" w:eastAsia="方正黑体_GBK" w:cs="Times New Roman"/>
          <w:color w:val="000000" w:themeColor="text1"/>
          <w:kern w:val="0"/>
          <w:sz w:val="21"/>
          <w:szCs w:val="21"/>
          <w14:textFill>
            <w14:solidFill>
              <w14:schemeClr w14:val="tx1"/>
            </w14:solidFill>
          </w14:textFill>
        </w:rPr>
      </w:pPr>
      <w:r>
        <w:rPr>
          <w:rFonts w:ascii="Times New Roman" w:hAnsi="Times New Roman" w:eastAsia="方正黑体_GBK" w:cs="Times New Roman"/>
          <w:color w:val="000000" w:themeColor="text1"/>
          <w:kern w:val="0"/>
          <w:sz w:val="21"/>
          <w:szCs w:val="21"/>
          <w14:textFill>
            <w14:solidFill>
              <w14:schemeClr w14:val="tx1"/>
            </w14:solidFill>
          </w14:textFill>
        </w:rPr>
        <w:t>八、违约责任、公共资源交易领域失信联合惩戒相关提示</w:t>
      </w:r>
    </w:p>
    <w:p w14:paraId="7D6A6DAE">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751A4793">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（二）有下列情形之一的，视为竞买人、竞得人违约，竞得结果无效，并将其列入失信联合惩戒名单、竞买保证金不予退还，出让方有权不再签订出让合同或解除合同：</w:t>
      </w:r>
    </w:p>
    <w:p w14:paraId="70344D76">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1.竞买人之间串通报价，损害国家利益、社会公共利益或者他人合法权益的；</w:t>
      </w:r>
    </w:p>
    <w:p w14:paraId="1D833375">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2.竞买人弄虚作假，骗取交易资格或竞得的；</w:t>
      </w:r>
    </w:p>
    <w:p w14:paraId="5D7FA1D0">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3.采取行贿或其他不正当手段竞得的；</w:t>
      </w:r>
    </w:p>
    <w:p w14:paraId="35867A04">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4.竞得人逾期不签订或者拒绝签订成交确认书的；</w:t>
      </w:r>
    </w:p>
    <w:p w14:paraId="63177DCC">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5.竞得人逾期不签订或者拒绝签订出让合同的；</w:t>
      </w:r>
    </w:p>
    <w:p w14:paraId="121936A9">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6.其他依法应当认定为违约的情形。</w:t>
      </w:r>
    </w:p>
    <w:p w14:paraId="247BF2FC">
      <w:pPr>
        <w:spacing w:line="360" w:lineRule="exact"/>
        <w:ind w:firstLine="420" w:firstLineChars="200"/>
        <w:rPr>
          <w:rFonts w:eastAsia="方正黑体_GBK"/>
          <w:bCs/>
          <w:color w:val="auto"/>
          <w:szCs w:val="21"/>
        </w:rPr>
      </w:pPr>
      <w:r>
        <w:rPr>
          <w:rFonts w:ascii="Times New Roman" w:hAnsi="Times New Roman" w:eastAsia="方正黑体_GBK" w:cs="Times New Roman"/>
          <w:color w:val="000000" w:themeColor="text1"/>
          <w:kern w:val="0"/>
          <w:sz w:val="21"/>
          <w:szCs w:val="21"/>
          <w14:textFill>
            <w14:solidFill>
              <w14:schemeClr w14:val="tx1"/>
            </w14:solidFill>
          </w14:textFill>
        </w:rPr>
        <w:t>九、出让合同签订事宜说明</w:t>
      </w:r>
    </w:p>
    <w:p w14:paraId="5C746397">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14:paraId="57A6E79E">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1.采矿权出让合同签订申请书（原件1份）；</w:t>
      </w:r>
    </w:p>
    <w:p w14:paraId="23528D11">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2.采矿权成交确认书（复印件1份）；</w:t>
      </w:r>
    </w:p>
    <w:p w14:paraId="342391D6">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3.工商营业执照副本（复印件1份）；</w:t>
      </w:r>
    </w:p>
    <w:p w14:paraId="43A975A4">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4.法人身份证明（复印件1份）；</w:t>
      </w:r>
    </w:p>
    <w:p w14:paraId="67BE0ABC">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5.法人不能亲自办理的应提供《授权委托书》（原件1份）；</w:t>
      </w:r>
    </w:p>
    <w:p w14:paraId="2AFD65A5">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6.受托人身份证明（复印件1份）；</w:t>
      </w:r>
    </w:p>
    <w:p w14:paraId="4DB80E52">
      <w:pPr>
        <w:spacing w:line="360" w:lineRule="exact"/>
        <w:ind w:firstLine="420" w:firstLineChars="200"/>
        <w:rPr>
          <w:b/>
          <w:bCs/>
          <w:color w:val="auto"/>
          <w:szCs w:val="21"/>
        </w:rPr>
      </w:pPr>
      <w:r>
        <w:rPr>
          <w:rFonts w:ascii="Times New Roman" w:hAnsi="Times New Roman" w:eastAsia="方正仿宋_GBK" w:cs="Times New Roman"/>
          <w:color w:val="000000" w:themeColor="text1"/>
          <w:sz w:val="21"/>
          <w:szCs w:val="21"/>
          <w14:textFill>
            <w14:solidFill>
              <w14:schemeClr w14:val="tx1"/>
            </w14:solidFill>
          </w14:textFill>
        </w:rPr>
        <w:t>7.按照成交结果完善的《重庆市采矿权出让合同》签章件6份（原件）。</w:t>
      </w:r>
    </w:p>
    <w:p w14:paraId="54527A7A">
      <w:pPr>
        <w:spacing w:line="360" w:lineRule="exact"/>
        <w:ind w:firstLine="420" w:firstLineChars="200"/>
        <w:rPr>
          <w:rFonts w:eastAsia="方正黑体_GBK"/>
          <w:bCs/>
          <w:color w:val="auto"/>
          <w:szCs w:val="21"/>
        </w:rPr>
      </w:pPr>
      <w:r>
        <w:rPr>
          <w:rFonts w:ascii="Times New Roman" w:hAnsi="Times New Roman" w:eastAsia="方正黑体_GBK" w:cs="Times New Roman"/>
          <w:color w:val="000000" w:themeColor="text1"/>
          <w:kern w:val="0"/>
          <w:sz w:val="21"/>
          <w:szCs w:val="21"/>
          <w14:textFill>
            <w14:solidFill>
              <w14:schemeClr w14:val="tx1"/>
            </w14:solidFill>
          </w14:textFill>
        </w:rPr>
        <w:t>十、对交易矿业权异议的处理方式</w:t>
      </w:r>
    </w:p>
    <w:p w14:paraId="092959B9">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对本次出让的采矿权存有异议的，应在</w:t>
      </w:r>
      <w:r>
        <w:rPr>
          <w:rFonts w:hint="eastAsia" w:ascii="Times New Roman" w:hAnsi="Times New Roman" w:eastAsia="方正仿宋_GBK" w:cs="Times New Roman"/>
          <w:color w:val="000000" w:themeColor="text1"/>
          <w:sz w:val="21"/>
          <w:szCs w:val="21"/>
          <w14:textFill>
            <w14:solidFill>
              <w14:schemeClr w14:val="tx1"/>
            </w14:solidFill>
          </w14:textFill>
        </w:rPr>
        <w:t>采矿权出让</w:t>
      </w:r>
      <w:r>
        <w:rPr>
          <w:rFonts w:ascii="Times New Roman" w:hAnsi="Times New Roman" w:eastAsia="方正仿宋_GBK" w:cs="Times New Roman"/>
          <w:color w:val="000000" w:themeColor="text1"/>
          <w:sz w:val="21"/>
          <w:szCs w:val="21"/>
          <w14:textFill>
            <w14:solidFill>
              <w14:schemeClr w14:val="tx1"/>
            </w14:solidFill>
          </w14:textFill>
        </w:rPr>
        <w:t>公告期截止前以书面方式向</w:t>
      </w:r>
      <w:r>
        <w:rPr>
          <w:rFonts w:hint="eastAsia" w:ascii="Times New Roman" w:hAnsi="Times New Roman" w:eastAsia="方正仿宋_GBK" w:cs="Times New Roman"/>
          <w:color w:val="000000" w:themeColor="text1"/>
          <w:sz w:val="21"/>
          <w:szCs w:val="21"/>
          <w14:textFill>
            <w14:solidFill>
              <w14:schemeClr w14:val="tx1"/>
            </w14:solidFill>
          </w14:textFill>
        </w:rPr>
        <w:t>重庆市南岸区</w:t>
      </w:r>
      <w:r>
        <w:rPr>
          <w:rFonts w:ascii="Times New Roman" w:hAnsi="Times New Roman" w:eastAsia="方正仿宋_GBK" w:cs="Times New Roman"/>
          <w:color w:val="000000" w:themeColor="text1"/>
          <w:sz w:val="21"/>
          <w:szCs w:val="21"/>
          <w14:textFill>
            <w14:solidFill>
              <w14:schemeClr w14:val="tx1"/>
            </w14:solidFill>
          </w14:textFill>
        </w:rPr>
        <w:t>规划和自然资源局提出（联系人：</w:t>
      </w:r>
      <w:r>
        <w:rPr>
          <w:rFonts w:hint="eastAsia" w:ascii="Times New Roman" w:hAnsi="Times New Roman" w:eastAsia="方正仿宋_GBK" w:cs="Times New Roman"/>
          <w:color w:val="000000" w:themeColor="text1"/>
          <w:sz w:val="21"/>
          <w:szCs w:val="21"/>
          <w14:textFill>
            <w14:solidFill>
              <w14:schemeClr w14:val="tx1"/>
            </w14:solidFill>
          </w14:textFill>
        </w:rPr>
        <w:t>张老师</w:t>
      </w:r>
      <w:r>
        <w:rPr>
          <w:rFonts w:ascii="Times New Roman" w:hAnsi="Times New Roman" w:eastAsia="方正仿宋_GBK" w:cs="Times New Roman"/>
          <w:color w:val="000000" w:themeColor="text1"/>
          <w:sz w:val="21"/>
          <w:szCs w:val="21"/>
          <w14:textFill>
            <w14:solidFill>
              <w14:schemeClr w14:val="tx1"/>
            </w14:solidFill>
          </w14:textFill>
        </w:rPr>
        <w:t>，联系电话</w:t>
      </w:r>
      <w:r>
        <w:rPr>
          <w:rFonts w:hint="eastAsia" w:ascii="Times New Roman" w:hAnsi="Times New Roman" w:eastAsia="方正仿宋_GBK" w:cs="Times New Roman"/>
          <w:color w:val="000000" w:themeColor="text1"/>
          <w:sz w:val="21"/>
          <w:szCs w:val="21"/>
          <w14:textFill>
            <w14:solidFill>
              <w14:schemeClr w14:val="tx1"/>
            </w14:solidFill>
          </w14:textFill>
        </w:rPr>
        <w:t>：023- 62830010）</w:t>
      </w:r>
      <w:r>
        <w:rPr>
          <w:rFonts w:ascii="Times New Roman" w:hAnsi="Times New Roman" w:eastAsia="方正仿宋_GBK" w:cs="Times New Roman"/>
          <w:color w:val="000000" w:themeColor="text1"/>
          <w:sz w:val="21"/>
          <w:szCs w:val="21"/>
          <w14:textFill>
            <w14:solidFill>
              <w14:schemeClr w14:val="tx1"/>
            </w14:solidFill>
          </w14:textFill>
        </w:rPr>
        <w:t>。根据所提异议的具体情况，按照《矿业权出让交易规则》（自然资规〔2023〕1号）等相关规定进行妥善处置。</w:t>
      </w:r>
    </w:p>
    <w:p w14:paraId="2957A0E0">
      <w:pPr>
        <w:spacing w:line="360" w:lineRule="exact"/>
        <w:ind w:firstLine="420" w:firstLineChars="200"/>
        <w:rPr>
          <w:rFonts w:ascii="Times New Roman" w:hAnsi="Times New Roman" w:eastAsia="方正黑体_GBK" w:cs="Times New Roman"/>
          <w:color w:val="000000" w:themeColor="text1"/>
          <w:kern w:val="0"/>
          <w:sz w:val="21"/>
          <w:szCs w:val="21"/>
          <w14:textFill>
            <w14:solidFill>
              <w14:schemeClr w14:val="tx1"/>
            </w14:solidFill>
          </w14:textFill>
        </w:rPr>
      </w:pPr>
      <w:r>
        <w:rPr>
          <w:rFonts w:ascii="Times New Roman" w:hAnsi="Times New Roman" w:eastAsia="方正黑体_GBK" w:cs="Times New Roman"/>
          <w:color w:val="000000" w:themeColor="text1"/>
          <w:kern w:val="0"/>
          <w:sz w:val="21"/>
          <w:szCs w:val="21"/>
          <w14:textFill>
            <w14:solidFill>
              <w14:schemeClr w14:val="tx1"/>
            </w14:solidFill>
          </w14:textFill>
        </w:rPr>
        <w:t>十一、交易中止或终止</w:t>
      </w:r>
    </w:p>
    <w:p w14:paraId="60586A74">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（一）有下列情形之一的，市公共资源交易中心将发布中止网上交易公告，并中止网上交易活动：</w:t>
      </w:r>
    </w:p>
    <w:p w14:paraId="25E44686">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1.公告公示期间发现出让的矿业权权属争议尚未解决的；</w:t>
      </w:r>
    </w:p>
    <w:p w14:paraId="72E725E5">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2.竞得人有矿产资源违法行为的行政处罚逾期不履行的；</w:t>
      </w:r>
    </w:p>
    <w:p w14:paraId="6D495F0C">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3.因不可抗力或者政策变化应当中止交易的其他情形。</w:t>
      </w:r>
    </w:p>
    <w:p w14:paraId="38FD9D22">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（二）有下列情形之一的，市公共资源交易中心将发布终止网上交易公告，并终止网上交易活动：</w:t>
      </w:r>
    </w:p>
    <w:p w14:paraId="5B7D6DBE">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1.出让人因有关政策规定、矿业权出让所依据的客观情况等发生重大变化提出终止交易</w:t>
      </w:r>
      <w:r>
        <w:rPr>
          <w:rFonts w:hint="eastAsia" w:ascii="Times New Roman" w:hAnsi="Times New Roman" w:eastAsia="方正仿宋_GBK" w:cs="Times New Roman"/>
          <w:color w:val="000000" w:themeColor="text1"/>
          <w:sz w:val="21"/>
          <w:szCs w:val="21"/>
          <w14:textFill>
            <w14:solidFill>
              <w14:schemeClr w14:val="tx1"/>
            </w14:solidFill>
          </w14:textFill>
        </w:rPr>
        <w:t>的</w:t>
      </w:r>
      <w:r>
        <w:rPr>
          <w:rFonts w:ascii="Times New Roman" w:hAnsi="Times New Roman" w:eastAsia="方正仿宋_GBK" w:cs="Times New Roman"/>
          <w:color w:val="000000" w:themeColor="text1"/>
          <w:sz w:val="21"/>
          <w:szCs w:val="21"/>
          <w14:textFill>
            <w14:solidFill>
              <w14:schemeClr w14:val="tx1"/>
            </w14:solidFill>
          </w14:textFill>
        </w:rPr>
        <w:t>；</w:t>
      </w:r>
    </w:p>
    <w:p w14:paraId="1C4C3BB4">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2.因不可抗力应当终止交易</w:t>
      </w:r>
      <w:r>
        <w:rPr>
          <w:rFonts w:hint="eastAsia" w:ascii="Times New Roman" w:hAnsi="Times New Roman" w:eastAsia="方正仿宋_GBK" w:cs="Times New Roman"/>
          <w:color w:val="000000" w:themeColor="text1"/>
          <w:sz w:val="21"/>
          <w:szCs w:val="21"/>
          <w14:textFill>
            <w14:solidFill>
              <w14:schemeClr w14:val="tx1"/>
            </w14:solidFill>
          </w14:textFill>
        </w:rPr>
        <w:t>的</w:t>
      </w:r>
      <w:r>
        <w:rPr>
          <w:rFonts w:ascii="Times New Roman" w:hAnsi="Times New Roman" w:eastAsia="方正仿宋_GBK" w:cs="Times New Roman"/>
          <w:color w:val="000000" w:themeColor="text1"/>
          <w:sz w:val="21"/>
          <w:szCs w:val="21"/>
          <w14:textFill>
            <w14:solidFill>
              <w14:schemeClr w14:val="tx1"/>
            </w14:solidFill>
          </w14:textFill>
        </w:rPr>
        <w:t>；</w:t>
      </w:r>
    </w:p>
    <w:p w14:paraId="011CB44D">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3.法律法规规定的其他情形。</w:t>
      </w:r>
    </w:p>
    <w:p w14:paraId="046BB4F0">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（三）依法应当中止或者终止网上交易活动的其他情形：</w:t>
      </w:r>
    </w:p>
    <w:p w14:paraId="73BF4E27">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1.司法机关、监察机关依法要求中止或者终止网上交易活动的；</w:t>
      </w:r>
    </w:p>
    <w:p w14:paraId="2BB4F72F">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2.网上交易系统软、硬件故障，网上交易系统网络专线故障，网上交易CA认证系统故障，银行保证金交纳系统故障等，导致网上交易系统不能正常运行的；</w:t>
      </w:r>
    </w:p>
    <w:p w14:paraId="4467AD87">
      <w:pPr>
        <w:spacing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3.因网络入侵等非可控因素，导致网上交易系统不能正常运行的。</w:t>
      </w:r>
    </w:p>
    <w:p w14:paraId="5C471646">
      <w:pPr>
        <w:spacing w:line="360" w:lineRule="exact"/>
        <w:ind w:firstLine="420" w:firstLineChars="200"/>
        <w:rPr>
          <w:color w:val="auto"/>
          <w:szCs w:val="21"/>
        </w:rPr>
      </w:pPr>
      <w:r>
        <w:rPr>
          <w:rFonts w:ascii="Times New Roman" w:hAnsi="Times New Roman" w:eastAsia="方正仿宋_GBK" w:cs="Times New Roman"/>
          <w:color w:val="000000" w:themeColor="text1"/>
          <w:sz w:val="21"/>
          <w:szCs w:val="21"/>
          <w14:textFill>
            <w14:solidFill>
              <w14:schemeClr w14:val="tx1"/>
            </w14:solidFill>
          </w14:textFill>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7849FFD8">
      <w:pPr>
        <w:spacing w:line="360" w:lineRule="exact"/>
        <w:ind w:firstLine="420" w:firstLineChars="200"/>
        <w:rPr>
          <w:rFonts w:ascii="Times New Roman" w:hAnsi="Times New Roman" w:eastAsia="方正黑体_GBK" w:cs="Times New Roman"/>
          <w:color w:val="000000" w:themeColor="text1"/>
          <w:kern w:val="0"/>
          <w:sz w:val="21"/>
          <w:szCs w:val="21"/>
          <w14:textFill>
            <w14:solidFill>
              <w14:schemeClr w14:val="tx1"/>
            </w14:solidFill>
          </w14:textFill>
        </w:rPr>
      </w:pPr>
      <w:r>
        <w:rPr>
          <w:rFonts w:ascii="Times New Roman" w:hAnsi="Times New Roman" w:eastAsia="方正黑体_GBK" w:cs="Times New Roman"/>
          <w:color w:val="000000" w:themeColor="text1"/>
          <w:kern w:val="0"/>
          <w:sz w:val="21"/>
          <w:szCs w:val="21"/>
          <w14:textFill>
            <w14:solidFill>
              <w14:schemeClr w14:val="tx1"/>
            </w14:solidFill>
          </w14:textFill>
        </w:rPr>
        <w:t>十二、其他重要提示</w:t>
      </w:r>
    </w:p>
    <w:p w14:paraId="1253BF0F">
      <w:pPr>
        <w:spacing w:line="360" w:lineRule="exact"/>
        <w:ind w:firstLine="420" w:firstLineChars="200"/>
        <w:rPr>
          <w:rFonts w:hint="eastAsia" w:ascii="Times New Roman" w:hAnsi="Times New Roman" w:eastAsia="方正仿宋_GBK" w:cs="Times New Roman"/>
          <w:color w:val="000000" w:themeColor="text1"/>
          <w:sz w:val="21"/>
          <w:szCs w:val="21"/>
          <w:lang w:eastAsia="zh-CN"/>
          <w14:textFill>
            <w14:solidFill>
              <w14:schemeClr w14:val="tx1"/>
            </w14:solidFill>
          </w14:textFill>
        </w:rPr>
      </w:pP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一）竞得人应当严格遵守矿产资源法律法规、相关矿业权管理政策，认真履行综合开采、综合利用、地质资料汇交、矿区生态修复、绿色矿山建设、合理和集约节约用地用林用草用海、临时用地恢复、采矿权占用费缴纳、矿产资源应急处置、安全生产等相关义务；严格按照绿色矿山标准建设运行，正式投产后2年内通过绿色矿山评估核查。</w:t>
      </w:r>
    </w:p>
    <w:p w14:paraId="152FD33E">
      <w:pPr>
        <w:spacing w:line="360" w:lineRule="exact"/>
        <w:ind w:firstLine="420" w:firstLineChars="200"/>
        <w:rPr>
          <w:rFonts w:hint="eastAsia" w:ascii="Times New Roman" w:hAnsi="Times New Roman" w:eastAsia="方正仿宋_GBK" w:cs="Times New Roman"/>
          <w:color w:val="000000" w:themeColor="text1"/>
          <w:sz w:val="21"/>
          <w:szCs w:val="21"/>
          <w:lang w:eastAsia="zh-CN"/>
          <w14:textFill>
            <w14:solidFill>
              <w14:schemeClr w14:val="tx1"/>
            </w14:solidFill>
          </w14:textFill>
        </w:rPr>
      </w:pP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二）竞得人须自行或委托编制《矿区生态修复方案》，按照经批准的《矿区生态修复方案》编制矿区生态修复年度计划，设立矿区生态修复费用专用银行账户，足额提取矿区生态修复费用，按照“边开采、边修复”要求开展修复，在矿山闭坑前或者闭坑后的合理期限内完成全部损毁区域修复并通过验收。</w:t>
      </w:r>
    </w:p>
    <w:p w14:paraId="75774AE7">
      <w:pPr>
        <w:spacing w:line="360" w:lineRule="exact"/>
        <w:ind w:firstLine="420" w:firstLineChars="200"/>
        <w:rPr>
          <w:rFonts w:hint="eastAsia" w:ascii="Times New Roman" w:hAnsi="Times New Roman" w:eastAsia="方正仿宋_GBK" w:cs="Times New Roman"/>
          <w:color w:val="000000" w:themeColor="text1"/>
          <w:sz w:val="21"/>
          <w:szCs w:val="21"/>
          <w:lang w:eastAsia="zh-CN"/>
          <w14:textFill>
            <w14:solidFill>
              <w14:schemeClr w14:val="tx1"/>
            </w14:solidFill>
          </w14:textFill>
        </w:rPr>
      </w:pP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（三）拟出让采矿权在开采、生产过程中，如需使用租赁范围外其他产权，如道路、设施设备等，竞得人需与其权属人就相关使用事宜进行协商。</w:t>
      </w:r>
    </w:p>
    <w:p w14:paraId="1AF0F671">
      <w:pPr>
        <w:spacing w:line="360" w:lineRule="exact"/>
        <w:ind w:firstLine="420" w:firstLineChars="200"/>
        <w:rPr>
          <w:rFonts w:hint="eastAsia" w:ascii="Times New Roman" w:hAnsi="Times New Roman" w:eastAsia="方正仿宋_GBK" w:cs="Times New Roman"/>
          <w:color w:val="000000" w:themeColor="text1"/>
          <w:sz w:val="21"/>
          <w:szCs w:val="21"/>
          <w:lang w:eastAsia="zh-CN"/>
          <w14:textFill>
            <w14:solidFill>
              <w14:schemeClr w14:val="tx1"/>
            </w14:solidFill>
          </w14:textFill>
        </w:rPr>
      </w:pP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四）竞买申请人须认真详读出让文件，现场踏勘并详细了解出让范围及周边土地、山权、林权、道路、地下管线、水电供给、废渣占地堆放、地表附着物、社群关系等影响资源开采的外部条件以及租赁等其他权益补偿情况，并自愿接受现状情况。竞得人需自行办理林地、安全施工、环境保护、水土保持、矿区生态修复方案批复、租赁等其它手续。（重庆市南岸区县规划自然资源局联系人：张老师，联系电话：023- 62830010）。</w:t>
      </w:r>
    </w:p>
    <w:p w14:paraId="2BA72D91">
      <w:pPr>
        <w:spacing w:line="360" w:lineRule="exact"/>
        <w:ind w:firstLine="420" w:firstLineChars="200"/>
        <w:rPr>
          <w:rFonts w:hint="eastAsia" w:ascii="Times New Roman" w:hAnsi="Times New Roman" w:eastAsia="方正仿宋_GBK" w:cs="Times New Roman"/>
          <w:color w:val="000000" w:themeColor="text1"/>
          <w:sz w:val="21"/>
          <w:szCs w:val="21"/>
          <w:lang w:eastAsia="zh-CN"/>
          <w14:textFill>
            <w14:solidFill>
              <w14:schemeClr w14:val="tx1"/>
            </w14:solidFill>
          </w14:textFill>
        </w:rPr>
      </w:pP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（五）提交竞买申请即视为竞买人对拟出让采矿权现状、出让文件、采矿权出让合同、政策要求等内容已完全认可并自愿承担所有风险。</w:t>
      </w:r>
    </w:p>
    <w:p w14:paraId="68967856">
      <w:pPr>
        <w:spacing w:line="360" w:lineRule="exact"/>
        <w:ind w:firstLine="420" w:firstLineChars="200"/>
        <w:rPr>
          <w:rFonts w:hint="eastAsia" w:ascii="Times New Roman" w:hAnsi="Times New Roman" w:eastAsia="方正仿宋_GBK" w:cs="Times New Roman"/>
          <w:color w:val="000000" w:themeColor="text1"/>
          <w:sz w:val="21"/>
          <w:szCs w:val="21"/>
          <w:lang w:eastAsia="zh-CN"/>
          <w14:textFill>
            <w14:solidFill>
              <w14:schemeClr w14:val="tx1"/>
            </w14:solidFill>
          </w14:textFill>
        </w:rPr>
      </w:pP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（六）竞得人在签收《成交确认书》之日起5个工作日内需另行支付交易服务费0.3</w:t>
      </w:r>
      <w:r>
        <w:rPr>
          <w:rFonts w:hint="eastAsia" w:cs="Times New Roman"/>
          <w:color w:val="000000" w:themeColor="text1"/>
          <w:sz w:val="21"/>
          <w:szCs w:val="21"/>
          <w:lang w:val="en-US" w:eastAsia="zh-CN"/>
          <w14:textFill>
            <w14:solidFill>
              <w14:schemeClr w14:val="tx1"/>
            </w14:solidFill>
          </w14:textFill>
        </w:rPr>
        <w:t>0165</w:t>
      </w:r>
      <w:r>
        <w:rPr>
          <w:rFonts w:hint="eastAsia" w:ascii="Times New Roman" w:hAnsi="Times New Roman" w:eastAsia="方正仿宋_GBK" w:cs="Times New Roman"/>
          <w:color w:val="000000" w:themeColor="text1"/>
          <w:sz w:val="21"/>
          <w:szCs w:val="21"/>
          <w:lang w:eastAsia="zh-CN"/>
          <w14:textFill>
            <w14:solidFill>
              <w14:schemeClr w14:val="tx1"/>
            </w14:solidFill>
          </w14:textFill>
        </w:rPr>
        <w:t>万元（暂定，以最终成交价测算为准）。收费标准按《重庆市发展和改革委员会关于矿业权和加工贸易废料交易服务收费有关事项的通知》（渝发改收费〔2025〕421号）执行。</w:t>
      </w:r>
    </w:p>
    <w:p w14:paraId="548D667B">
      <w:pPr>
        <w:spacing w:line="360" w:lineRule="exact"/>
        <w:ind w:firstLine="420" w:firstLineChars="200"/>
        <w:rPr>
          <w:rFonts w:hint="eastAsia" w:ascii="Times New Roman" w:hAnsi="Times New Roman" w:eastAsia="方正仿宋_GBK" w:cs="Times New Roman"/>
          <w:color w:val="000000" w:themeColor="text1"/>
          <w:sz w:val="21"/>
          <w:szCs w:val="21"/>
          <w14:textFill>
            <w14:solidFill>
              <w14:schemeClr w14:val="tx1"/>
            </w14:solidFill>
          </w14:textFill>
        </w:rPr>
      </w:pPr>
    </w:p>
    <w:p w14:paraId="76223C7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imes New Roman" w:hAnsi="Times New Roman" w:eastAsia="方正仿宋_GBK" w:cs="Times New Roman"/>
          <w:color w:val="000000" w:themeColor="text1"/>
          <w:sz w:val="21"/>
          <w:szCs w:val="21"/>
          <w14:textFill>
            <w14:solidFill>
              <w14:schemeClr w14:val="tx1"/>
            </w14:solidFill>
          </w14:textFill>
        </w:rPr>
      </w:pPr>
      <w:r>
        <w:rPr>
          <w:rFonts w:ascii="Times New Roman" w:hAnsi="Times New Roman" w:eastAsia="方正仿宋_GBK" w:cs="Times New Roman"/>
          <w:color w:val="000000" w:themeColor="text1"/>
          <w:sz w:val="21"/>
          <w:szCs w:val="21"/>
          <w14:textFill>
            <w14:solidFill>
              <w14:schemeClr w14:val="tx1"/>
            </w14:solidFill>
          </w14:textFill>
        </w:rPr>
        <w:t>附件：</w:t>
      </w:r>
      <w:r>
        <w:rPr>
          <w:rFonts w:hint="eastAsia" w:ascii="Times New Roman" w:hAnsi="Times New Roman" w:eastAsia="方正仿宋_GBK" w:cs="Times New Roman"/>
          <w:color w:val="000000" w:themeColor="text1"/>
          <w:sz w:val="21"/>
          <w:szCs w:val="21"/>
          <w14:textFill>
            <w14:solidFill>
              <w14:schemeClr w14:val="tx1"/>
            </w14:solidFill>
          </w14:textFill>
        </w:rPr>
        <w:t>1.</w:t>
      </w:r>
      <w:r>
        <w:rPr>
          <w:rFonts w:ascii="Times New Roman" w:hAnsi="Times New Roman" w:eastAsia="方正仿宋_GBK" w:cs="Times New Roman"/>
          <w:color w:val="000000" w:themeColor="text1"/>
          <w:sz w:val="21"/>
          <w:szCs w:val="21"/>
          <w14:textFill>
            <w14:solidFill>
              <w14:schemeClr w14:val="tx1"/>
            </w14:solidFill>
          </w14:textFill>
        </w:rPr>
        <w:t>《竞买申请书》</w:t>
      </w:r>
    </w:p>
    <w:p w14:paraId="2B6F955B">
      <w:pPr>
        <w:spacing w:line="360" w:lineRule="exact"/>
        <w:ind w:firstLine="1050" w:firstLineChars="500"/>
        <w:rPr>
          <w:rFonts w:hint="eastAsia"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2.</w:t>
      </w:r>
      <w:r>
        <w:rPr>
          <w:rFonts w:ascii="Times New Roman" w:hAnsi="Times New Roman" w:eastAsia="方正仿宋_GBK" w:cs="Times New Roman"/>
          <w:color w:val="000000" w:themeColor="text1"/>
          <w:sz w:val="21"/>
          <w:szCs w:val="21"/>
          <w14:textFill>
            <w14:solidFill>
              <w14:schemeClr w14:val="tx1"/>
            </w14:solidFill>
          </w14:textFill>
        </w:rPr>
        <w:t>《授权委托书》</w:t>
      </w:r>
    </w:p>
    <w:p w14:paraId="398D392E">
      <w:pPr>
        <w:spacing w:line="360" w:lineRule="exact"/>
        <w:ind w:firstLine="1050" w:firstLineChars="500"/>
        <w:rPr>
          <w:rFonts w:hint="eastAsia"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3.</w:t>
      </w:r>
      <w:r>
        <w:rPr>
          <w:rFonts w:ascii="Times New Roman" w:hAnsi="Times New Roman" w:eastAsia="方正仿宋_GBK" w:cs="Times New Roman"/>
          <w:color w:val="000000" w:themeColor="text1"/>
          <w:sz w:val="21"/>
          <w:szCs w:val="21"/>
          <w14:textFill>
            <w14:solidFill>
              <w14:schemeClr w14:val="tx1"/>
            </w14:solidFill>
          </w14:textFill>
        </w:rPr>
        <w:t>重庆市采矿权出让合同（模板）</w:t>
      </w:r>
    </w:p>
    <w:p w14:paraId="0D173D2F">
      <w:pPr>
        <w:spacing w:line="360" w:lineRule="exact"/>
        <w:ind w:firstLine="1050" w:firstLineChars="5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4.</w:t>
      </w:r>
      <w:r>
        <w:rPr>
          <w:rFonts w:ascii="Times New Roman" w:hAnsi="Times New Roman" w:eastAsia="方正仿宋_GBK" w:cs="Times New Roman"/>
          <w:color w:val="000000" w:themeColor="text1"/>
          <w:sz w:val="21"/>
          <w:szCs w:val="21"/>
          <w14:textFill>
            <w14:solidFill>
              <w14:schemeClr w14:val="tx1"/>
            </w14:solidFill>
          </w14:textFill>
        </w:rPr>
        <w:t>《成交确认书》</w:t>
      </w:r>
    </w:p>
    <w:p w14:paraId="016A9900">
      <w:pPr>
        <w:spacing w:line="360" w:lineRule="exact"/>
        <w:ind w:firstLine="420" w:firstLineChars="200"/>
        <w:jc w:val="right"/>
        <w:rPr>
          <w:rFonts w:hint="eastAsia" w:ascii="Times New Roman" w:hAnsi="Times New Roman" w:eastAsia="方正仿宋_GBK" w:cs="方正仿宋_GBK"/>
          <w:color w:val="000000" w:themeColor="text1"/>
          <w:sz w:val="21"/>
          <w:szCs w:val="21"/>
          <w:lang w:val="en-US" w:eastAsia="zh-CN"/>
          <w14:textFill>
            <w14:solidFill>
              <w14:schemeClr w14:val="tx1"/>
            </w14:solidFill>
          </w14:textFill>
        </w:rPr>
      </w:pPr>
    </w:p>
    <w:p w14:paraId="2C1E150C">
      <w:pPr>
        <w:spacing w:line="360" w:lineRule="exact"/>
        <w:ind w:firstLine="420" w:firstLineChars="200"/>
        <w:jc w:val="right"/>
        <w:rPr>
          <w:rFonts w:hint="eastAsia" w:ascii="Times New Roman" w:hAnsi="Times New Roman" w:eastAsia="方正仿宋_GBK" w:cs="方正仿宋_GBK"/>
          <w:color w:val="000000" w:themeColor="text1"/>
          <w:sz w:val="21"/>
          <w:szCs w:val="21"/>
          <w:lang w:val="en-US" w:eastAsia="zh-CN"/>
          <w14:textFill>
            <w14:solidFill>
              <w14:schemeClr w14:val="tx1"/>
            </w14:solidFill>
          </w14:textFill>
        </w:rPr>
      </w:pPr>
      <w:r>
        <w:rPr>
          <w:rFonts w:hint="eastAsia" w:cs="方正仿宋_GBK"/>
          <w:color w:val="000000" w:themeColor="text1"/>
          <w:sz w:val="21"/>
          <w:szCs w:val="21"/>
          <w:lang w:val="en-US" w:eastAsia="zh-CN"/>
          <w14:textFill>
            <w14:solidFill>
              <w14:schemeClr w14:val="tx1"/>
            </w14:solidFill>
          </w14:textFill>
        </w:rPr>
        <w:t>2025</w:t>
      </w:r>
      <w:r>
        <w:rPr>
          <w:rFonts w:hint="eastAsia" w:ascii="Times New Roman" w:hAnsi="Times New Roman" w:eastAsia="方正仿宋_GBK" w:cs="方正仿宋_GBK"/>
          <w:color w:val="000000" w:themeColor="text1"/>
          <w:sz w:val="21"/>
          <w:szCs w:val="21"/>
          <w:lang w:val="en-US" w:eastAsia="zh-CN"/>
          <w14:textFill>
            <w14:solidFill>
              <w14:schemeClr w14:val="tx1"/>
            </w14:solidFill>
          </w14:textFill>
        </w:rPr>
        <w:t>年</w:t>
      </w:r>
      <w:r>
        <w:rPr>
          <w:rFonts w:hint="eastAsia" w:cs="方正仿宋_GBK"/>
          <w:color w:val="000000" w:themeColor="text1"/>
          <w:sz w:val="21"/>
          <w:szCs w:val="21"/>
          <w:lang w:val="en-US" w:eastAsia="zh-CN"/>
          <w14:textFill>
            <w14:solidFill>
              <w14:schemeClr w14:val="tx1"/>
            </w14:solidFill>
          </w14:textFill>
        </w:rPr>
        <w:t>10月11日</w:t>
      </w:r>
    </w:p>
    <w:p w14:paraId="3E0EAFB8">
      <w:pPr>
        <w:pStyle w:val="2"/>
        <w:rPr>
          <w:rFonts w:hint="eastAsia"/>
          <w:lang w:val="en-US" w:eastAsia="zh-CN"/>
        </w:rPr>
      </w:pPr>
    </w:p>
    <w:tbl>
      <w:tblPr>
        <w:tblStyle w:val="21"/>
        <w:tblpPr w:leftFromText="180" w:rightFromText="180" w:vertAnchor="text" w:horzAnchor="page" w:tblpX="1680" w:tblpY="114"/>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14:paraId="59D3D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exact"/>
        </w:trPr>
        <w:tc>
          <w:tcPr>
            <w:tcW w:w="8359" w:type="dxa"/>
          </w:tcPr>
          <w:p w14:paraId="1A1D1341">
            <w:pPr>
              <w:pStyle w:val="8"/>
              <w:spacing w:line="360" w:lineRule="exact"/>
              <w:ind w:left="0" w:leftChars="0" w:firstLine="0" w:firstLineChars="0"/>
              <w:rPr>
                <w:rFonts w:ascii="Times New Roman" w:hAnsi="Times New Roman" w:eastAsia="方正仿宋_GBK"/>
                <w:color w:val="auto"/>
                <w:szCs w:val="21"/>
              </w:rPr>
            </w:pPr>
            <w:r>
              <w:rPr>
                <w:rFonts w:ascii="Times New Roman" w:hAnsi="Times New Roman" w:eastAsia="方正仿宋_GBK"/>
                <w:color w:val="auto"/>
                <w:szCs w:val="21"/>
              </w:rPr>
              <w:t>竞买申请人声明：</w:t>
            </w:r>
            <w:r>
              <w:rPr>
                <w:rFonts w:ascii="Times New Roman" w:hAnsi="Times New Roman" w:eastAsia="方正仿宋_GBK"/>
                <w:i/>
                <w:color w:val="auto"/>
                <w:szCs w:val="21"/>
                <w:u w:val="single"/>
              </w:rPr>
              <w:t>（填写已自行踏勘、知晓、自愿等声明）</w:t>
            </w:r>
          </w:p>
          <w:p w14:paraId="4F803AC7">
            <w:pPr>
              <w:pStyle w:val="8"/>
              <w:spacing w:line="360" w:lineRule="exact"/>
              <w:ind w:left="640"/>
              <w:rPr>
                <w:rFonts w:ascii="Times New Roman" w:hAnsi="Times New Roman" w:eastAsia="方正仿宋_GBK"/>
                <w:color w:val="auto"/>
                <w:szCs w:val="21"/>
                <w:u w:val="single"/>
              </w:rPr>
            </w:pPr>
          </w:p>
          <w:p w14:paraId="0CE6FC52">
            <w:pPr>
              <w:pStyle w:val="8"/>
              <w:spacing w:line="360" w:lineRule="exact"/>
              <w:ind w:left="640"/>
              <w:rPr>
                <w:rFonts w:ascii="Times New Roman" w:hAnsi="Times New Roman" w:eastAsia="方正仿宋_GBK"/>
                <w:color w:val="auto"/>
                <w:szCs w:val="21"/>
                <w:u w:val="single"/>
              </w:rPr>
            </w:pPr>
          </w:p>
          <w:p w14:paraId="126CEF9D">
            <w:pPr>
              <w:pStyle w:val="8"/>
              <w:spacing w:line="360" w:lineRule="exact"/>
              <w:ind w:left="640"/>
              <w:rPr>
                <w:rFonts w:ascii="Times New Roman" w:hAnsi="Times New Roman" w:eastAsia="方正仿宋_GBK"/>
                <w:color w:val="auto"/>
                <w:szCs w:val="21"/>
                <w:u w:val="single"/>
              </w:rPr>
            </w:pPr>
          </w:p>
          <w:p w14:paraId="24A44402">
            <w:pPr>
              <w:pStyle w:val="8"/>
              <w:spacing w:line="360" w:lineRule="exact"/>
              <w:ind w:left="640"/>
              <w:jc w:val="center"/>
              <w:rPr>
                <w:rFonts w:ascii="Times New Roman" w:hAnsi="Times New Roman" w:eastAsia="方正仿宋_GBK"/>
                <w:color w:val="auto"/>
                <w:szCs w:val="21"/>
              </w:rPr>
            </w:pPr>
            <w:r>
              <w:rPr>
                <w:rFonts w:ascii="Times New Roman" w:hAnsi="Times New Roman" w:eastAsia="方正仿宋_GBK"/>
                <w:color w:val="auto"/>
                <w:szCs w:val="21"/>
              </w:rPr>
              <w:t>竞买申请人（盖章）：</w:t>
            </w:r>
          </w:p>
          <w:p w14:paraId="0A08D5F6">
            <w:pPr>
              <w:pStyle w:val="8"/>
              <w:spacing w:line="360" w:lineRule="exact"/>
              <w:ind w:left="640"/>
              <w:jc w:val="center"/>
              <w:rPr>
                <w:rFonts w:ascii="Times New Roman" w:hAnsi="Times New Roman" w:eastAsia="方正仿宋_GBK"/>
                <w:color w:val="auto"/>
                <w:szCs w:val="21"/>
              </w:rPr>
            </w:pPr>
            <w:r>
              <w:rPr>
                <w:rFonts w:ascii="Times New Roman" w:hAnsi="Times New Roman" w:eastAsia="方正仿宋_GBK"/>
                <w:color w:val="auto"/>
                <w:szCs w:val="21"/>
              </w:rPr>
              <w:t>法人代表或授权代理人（签名）：</w:t>
            </w:r>
          </w:p>
          <w:p w14:paraId="66764892">
            <w:pPr>
              <w:pStyle w:val="8"/>
              <w:spacing w:line="360" w:lineRule="exact"/>
              <w:ind w:left="640"/>
              <w:jc w:val="center"/>
              <w:rPr>
                <w:rFonts w:ascii="Times New Roman" w:hAnsi="Times New Roman" w:eastAsia="方正仿宋_GBK"/>
                <w:color w:val="auto"/>
                <w:szCs w:val="21"/>
              </w:rPr>
            </w:pPr>
          </w:p>
          <w:p w14:paraId="2AADDF88">
            <w:pPr>
              <w:pStyle w:val="8"/>
              <w:wordWrap w:val="0"/>
              <w:spacing w:line="360" w:lineRule="exact"/>
              <w:ind w:left="640" w:right="800" w:rightChars="250"/>
              <w:jc w:val="right"/>
              <w:rPr>
                <w:rFonts w:ascii="Times New Roman" w:hAnsi="Times New Roman"/>
                <w:color w:val="auto"/>
                <w:szCs w:val="21"/>
              </w:rPr>
            </w:pPr>
            <w:r>
              <w:rPr>
                <w:rFonts w:ascii="Times New Roman" w:hAnsi="Times New Roman" w:eastAsia="方正仿宋_GBK"/>
                <w:color w:val="auto"/>
                <w:szCs w:val="21"/>
              </w:rPr>
              <w:t>年  月  日</w:t>
            </w:r>
          </w:p>
        </w:tc>
      </w:tr>
    </w:tbl>
    <w:p w14:paraId="116B2D54">
      <w:pPr>
        <w:pStyle w:val="31"/>
        <w:ind w:firstLine="640"/>
        <w:rPr>
          <w:rFonts w:ascii="Times New Roman" w:cs="Times New Roman"/>
          <w:color w:val="auto"/>
          <w:sz w:val="32"/>
          <w:szCs w:val="32"/>
        </w:rPr>
      </w:pPr>
    </w:p>
    <w:p w14:paraId="646D62B7">
      <w:pPr>
        <w:rPr>
          <w:color w:val="auto"/>
        </w:rPr>
      </w:pPr>
    </w:p>
    <w:p w14:paraId="2090C5AF">
      <w:pPr>
        <w:rPr>
          <w:color w:val="auto"/>
        </w:rPr>
      </w:pPr>
    </w:p>
    <w:p w14:paraId="66D00D7A">
      <w:pPr>
        <w:rPr>
          <w:color w:val="auto"/>
        </w:rPr>
      </w:pPr>
    </w:p>
    <w:p w14:paraId="7E666ACD">
      <w:pPr>
        <w:rPr>
          <w:color w:val="auto"/>
        </w:rPr>
      </w:pPr>
    </w:p>
    <w:p w14:paraId="7AA8AA36">
      <w:pPr>
        <w:rPr>
          <w:color w:val="auto"/>
        </w:rPr>
      </w:pPr>
    </w:p>
    <w:p w14:paraId="71729E9F">
      <w:pPr>
        <w:rPr>
          <w:color w:val="auto"/>
        </w:rPr>
      </w:pPr>
    </w:p>
    <w:p w14:paraId="1BBBC4AC">
      <w:pPr>
        <w:rPr>
          <w:color w:val="auto"/>
        </w:rPr>
      </w:pPr>
    </w:p>
    <w:p w14:paraId="087132A2">
      <w:pPr>
        <w:rPr>
          <w:color w:val="auto"/>
        </w:rPr>
      </w:pPr>
    </w:p>
    <w:p w14:paraId="2DBEB6BB">
      <w:pPr>
        <w:rPr>
          <w:rFonts w:hint="eastAsia"/>
          <w:color w:val="auto"/>
        </w:rPr>
      </w:pPr>
    </w:p>
    <w:p w14:paraId="7845E230"/>
    <w:sectPr>
      <w:footerReference r:id="rId5" w:type="first"/>
      <w:footerReference r:id="rId3" w:type="default"/>
      <w:footerReference r:id="rId4" w:type="even"/>
      <w:pgSz w:w="11906" w:h="16838"/>
      <w:pgMar w:top="1985" w:right="1446" w:bottom="1644" w:left="1446" w:header="851" w:footer="992" w:gutter="0"/>
      <w:pgNumType w:fmt="decimal"/>
      <w:cols w:space="720" w:num="1"/>
      <w:titlePg/>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5D73F">
    <w:pPr>
      <w:pStyle w:val="16"/>
      <w:ind w:right="320" w:rightChars="100"/>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148A90">
                          <w:pPr>
                            <w:pStyle w:val="1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32148A90">
                    <w:pPr>
                      <w:pStyle w:val="1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D32B4">
    <w:pPr>
      <w:pStyle w:val="16"/>
      <w:rPr>
        <w:rFonts w:asciiTheme="minorEastAsia" w:hAnsiTheme="minorEastAsia" w:eastAsia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E20194">
                          <w:pPr>
                            <w:pStyle w:val="1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0DE20194">
                    <w:pPr>
                      <w:pStyle w:val="1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DDFD7">
    <w:pPr>
      <w:pStyle w:val="16"/>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4E1FB7">
                          <w:pPr>
                            <w:pStyle w:val="1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4E1FB7">
                    <w:pPr>
                      <w:pStyle w:val="1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trackRevisions w:val="1"/>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08A"/>
    <w:rsid w:val="00000A8F"/>
    <w:rsid w:val="00000AE7"/>
    <w:rsid w:val="000022EA"/>
    <w:rsid w:val="00003246"/>
    <w:rsid w:val="0001065B"/>
    <w:rsid w:val="000140D7"/>
    <w:rsid w:val="000142C2"/>
    <w:rsid w:val="00014AF5"/>
    <w:rsid w:val="00015971"/>
    <w:rsid w:val="000162E7"/>
    <w:rsid w:val="000170C0"/>
    <w:rsid w:val="00017A8F"/>
    <w:rsid w:val="0002163A"/>
    <w:rsid w:val="000223AF"/>
    <w:rsid w:val="00023F10"/>
    <w:rsid w:val="00025765"/>
    <w:rsid w:val="00027B65"/>
    <w:rsid w:val="00030051"/>
    <w:rsid w:val="0003141B"/>
    <w:rsid w:val="00031C9C"/>
    <w:rsid w:val="000325EE"/>
    <w:rsid w:val="00032F40"/>
    <w:rsid w:val="00033713"/>
    <w:rsid w:val="00034177"/>
    <w:rsid w:val="000366BE"/>
    <w:rsid w:val="000366C2"/>
    <w:rsid w:val="00036CFC"/>
    <w:rsid w:val="00040F19"/>
    <w:rsid w:val="00044035"/>
    <w:rsid w:val="00044C8C"/>
    <w:rsid w:val="00045EF1"/>
    <w:rsid w:val="00046BF9"/>
    <w:rsid w:val="00047C4C"/>
    <w:rsid w:val="00051CBA"/>
    <w:rsid w:val="000525FA"/>
    <w:rsid w:val="000545F2"/>
    <w:rsid w:val="00055B09"/>
    <w:rsid w:val="0005663A"/>
    <w:rsid w:val="00057646"/>
    <w:rsid w:val="000576F1"/>
    <w:rsid w:val="00057A55"/>
    <w:rsid w:val="000608A5"/>
    <w:rsid w:val="00061255"/>
    <w:rsid w:val="00062057"/>
    <w:rsid w:val="000644AD"/>
    <w:rsid w:val="00064A8A"/>
    <w:rsid w:val="000670F7"/>
    <w:rsid w:val="0006751D"/>
    <w:rsid w:val="0007057A"/>
    <w:rsid w:val="0007123F"/>
    <w:rsid w:val="00071438"/>
    <w:rsid w:val="00074093"/>
    <w:rsid w:val="00081098"/>
    <w:rsid w:val="00084C43"/>
    <w:rsid w:val="00085B70"/>
    <w:rsid w:val="0009177C"/>
    <w:rsid w:val="00091A00"/>
    <w:rsid w:val="00094903"/>
    <w:rsid w:val="00094A37"/>
    <w:rsid w:val="00095E4E"/>
    <w:rsid w:val="0009755E"/>
    <w:rsid w:val="000A15DC"/>
    <w:rsid w:val="000A34DB"/>
    <w:rsid w:val="000A3A72"/>
    <w:rsid w:val="000B2E8F"/>
    <w:rsid w:val="000B3F0F"/>
    <w:rsid w:val="000B5EBE"/>
    <w:rsid w:val="000C01D9"/>
    <w:rsid w:val="000C0D6A"/>
    <w:rsid w:val="000C1249"/>
    <w:rsid w:val="000C16E5"/>
    <w:rsid w:val="000C1CD9"/>
    <w:rsid w:val="000C2458"/>
    <w:rsid w:val="000C3CA9"/>
    <w:rsid w:val="000C3E98"/>
    <w:rsid w:val="000C5056"/>
    <w:rsid w:val="000C576D"/>
    <w:rsid w:val="000C5FCA"/>
    <w:rsid w:val="000C617D"/>
    <w:rsid w:val="000D082D"/>
    <w:rsid w:val="000D26DD"/>
    <w:rsid w:val="000D2AA0"/>
    <w:rsid w:val="000D2FAF"/>
    <w:rsid w:val="000D61CD"/>
    <w:rsid w:val="000E1812"/>
    <w:rsid w:val="000E262B"/>
    <w:rsid w:val="000E59EC"/>
    <w:rsid w:val="000E5A7F"/>
    <w:rsid w:val="000E6508"/>
    <w:rsid w:val="000E6E5B"/>
    <w:rsid w:val="000F124F"/>
    <w:rsid w:val="000F1F56"/>
    <w:rsid w:val="000F330C"/>
    <w:rsid w:val="000F409F"/>
    <w:rsid w:val="000F47B6"/>
    <w:rsid w:val="000F4CFC"/>
    <w:rsid w:val="000F7CAC"/>
    <w:rsid w:val="0010082A"/>
    <w:rsid w:val="001013D8"/>
    <w:rsid w:val="001016A5"/>
    <w:rsid w:val="00102747"/>
    <w:rsid w:val="0010279B"/>
    <w:rsid w:val="0010331F"/>
    <w:rsid w:val="001034F2"/>
    <w:rsid w:val="00104CE5"/>
    <w:rsid w:val="0010748C"/>
    <w:rsid w:val="00111174"/>
    <w:rsid w:val="0011180D"/>
    <w:rsid w:val="00111D78"/>
    <w:rsid w:val="00113399"/>
    <w:rsid w:val="00113659"/>
    <w:rsid w:val="001146D8"/>
    <w:rsid w:val="00115BF3"/>
    <w:rsid w:val="001167E8"/>
    <w:rsid w:val="00120156"/>
    <w:rsid w:val="0012219A"/>
    <w:rsid w:val="001248A0"/>
    <w:rsid w:val="001268DD"/>
    <w:rsid w:val="001275AF"/>
    <w:rsid w:val="00130260"/>
    <w:rsid w:val="00133C3E"/>
    <w:rsid w:val="00133F31"/>
    <w:rsid w:val="00134CEE"/>
    <w:rsid w:val="001358C7"/>
    <w:rsid w:val="001368EE"/>
    <w:rsid w:val="001377FB"/>
    <w:rsid w:val="00142933"/>
    <w:rsid w:val="00147B59"/>
    <w:rsid w:val="00151071"/>
    <w:rsid w:val="00151B4F"/>
    <w:rsid w:val="00151D85"/>
    <w:rsid w:val="00151E16"/>
    <w:rsid w:val="00155D82"/>
    <w:rsid w:val="00157D29"/>
    <w:rsid w:val="00162302"/>
    <w:rsid w:val="00162373"/>
    <w:rsid w:val="00163825"/>
    <w:rsid w:val="001639A1"/>
    <w:rsid w:val="00165705"/>
    <w:rsid w:val="00165D64"/>
    <w:rsid w:val="0016722D"/>
    <w:rsid w:val="00167FD9"/>
    <w:rsid w:val="00170189"/>
    <w:rsid w:val="00170D8D"/>
    <w:rsid w:val="001718D2"/>
    <w:rsid w:val="00171EF2"/>
    <w:rsid w:val="00172A7B"/>
    <w:rsid w:val="001732FB"/>
    <w:rsid w:val="00177104"/>
    <w:rsid w:val="00183D25"/>
    <w:rsid w:val="00184CC9"/>
    <w:rsid w:val="00186D05"/>
    <w:rsid w:val="00187D3E"/>
    <w:rsid w:val="001913D6"/>
    <w:rsid w:val="0019149D"/>
    <w:rsid w:val="00194AAF"/>
    <w:rsid w:val="001959A8"/>
    <w:rsid w:val="001963A9"/>
    <w:rsid w:val="00197094"/>
    <w:rsid w:val="00197C1D"/>
    <w:rsid w:val="001A0807"/>
    <w:rsid w:val="001A13E7"/>
    <w:rsid w:val="001A146B"/>
    <w:rsid w:val="001A21E8"/>
    <w:rsid w:val="001A2AFB"/>
    <w:rsid w:val="001A372B"/>
    <w:rsid w:val="001A5A70"/>
    <w:rsid w:val="001A61B9"/>
    <w:rsid w:val="001A6293"/>
    <w:rsid w:val="001B1A6B"/>
    <w:rsid w:val="001B2D1B"/>
    <w:rsid w:val="001B30CE"/>
    <w:rsid w:val="001B5A45"/>
    <w:rsid w:val="001B5A7F"/>
    <w:rsid w:val="001B63CE"/>
    <w:rsid w:val="001C2083"/>
    <w:rsid w:val="001C4D26"/>
    <w:rsid w:val="001C4FD9"/>
    <w:rsid w:val="001D08B6"/>
    <w:rsid w:val="001D3125"/>
    <w:rsid w:val="001D3D02"/>
    <w:rsid w:val="001D7D67"/>
    <w:rsid w:val="001E2CEA"/>
    <w:rsid w:val="001E358B"/>
    <w:rsid w:val="001E46FA"/>
    <w:rsid w:val="001E7084"/>
    <w:rsid w:val="001F0994"/>
    <w:rsid w:val="001F0DAD"/>
    <w:rsid w:val="001F1449"/>
    <w:rsid w:val="001F345F"/>
    <w:rsid w:val="001F3D53"/>
    <w:rsid w:val="001F5BAC"/>
    <w:rsid w:val="001F6DA4"/>
    <w:rsid w:val="00200341"/>
    <w:rsid w:val="00200691"/>
    <w:rsid w:val="00201E66"/>
    <w:rsid w:val="0020366A"/>
    <w:rsid w:val="00204F6C"/>
    <w:rsid w:val="00206D74"/>
    <w:rsid w:val="0021066A"/>
    <w:rsid w:val="002157CB"/>
    <w:rsid w:val="002163C4"/>
    <w:rsid w:val="00217D11"/>
    <w:rsid w:val="00221919"/>
    <w:rsid w:val="00222094"/>
    <w:rsid w:val="0022268E"/>
    <w:rsid w:val="00223BC9"/>
    <w:rsid w:val="0022550F"/>
    <w:rsid w:val="002260F1"/>
    <w:rsid w:val="002276D0"/>
    <w:rsid w:val="00227A27"/>
    <w:rsid w:val="00233ABE"/>
    <w:rsid w:val="002366FA"/>
    <w:rsid w:val="00236F30"/>
    <w:rsid w:val="00240341"/>
    <w:rsid w:val="00240B6B"/>
    <w:rsid w:val="00243A0A"/>
    <w:rsid w:val="00244048"/>
    <w:rsid w:val="00247C1F"/>
    <w:rsid w:val="002509B4"/>
    <w:rsid w:val="00250B64"/>
    <w:rsid w:val="002513C8"/>
    <w:rsid w:val="00253093"/>
    <w:rsid w:val="002535FA"/>
    <w:rsid w:val="00255488"/>
    <w:rsid w:val="002574C7"/>
    <w:rsid w:val="002614EC"/>
    <w:rsid w:val="00261B8E"/>
    <w:rsid w:val="00261EAD"/>
    <w:rsid w:val="002620A1"/>
    <w:rsid w:val="00263DD1"/>
    <w:rsid w:val="0026475B"/>
    <w:rsid w:val="00264CAE"/>
    <w:rsid w:val="00265258"/>
    <w:rsid w:val="00266254"/>
    <w:rsid w:val="00266C09"/>
    <w:rsid w:val="002679BD"/>
    <w:rsid w:val="0027093F"/>
    <w:rsid w:val="00270DFD"/>
    <w:rsid w:val="002727D7"/>
    <w:rsid w:val="00272BD2"/>
    <w:rsid w:val="00272ECE"/>
    <w:rsid w:val="00273755"/>
    <w:rsid w:val="002737B3"/>
    <w:rsid w:val="00275211"/>
    <w:rsid w:val="00275690"/>
    <w:rsid w:val="00277F27"/>
    <w:rsid w:val="00280EE2"/>
    <w:rsid w:val="002814A4"/>
    <w:rsid w:val="00282590"/>
    <w:rsid w:val="0028335A"/>
    <w:rsid w:val="002846A1"/>
    <w:rsid w:val="00287AF7"/>
    <w:rsid w:val="00291CB4"/>
    <w:rsid w:val="0029316E"/>
    <w:rsid w:val="002949CC"/>
    <w:rsid w:val="002971B3"/>
    <w:rsid w:val="002A02EA"/>
    <w:rsid w:val="002A05FC"/>
    <w:rsid w:val="002A0D8C"/>
    <w:rsid w:val="002A2E73"/>
    <w:rsid w:val="002A578C"/>
    <w:rsid w:val="002A7512"/>
    <w:rsid w:val="002C1818"/>
    <w:rsid w:val="002C40D2"/>
    <w:rsid w:val="002C42F2"/>
    <w:rsid w:val="002C4AB9"/>
    <w:rsid w:val="002C4B96"/>
    <w:rsid w:val="002D166B"/>
    <w:rsid w:val="002D4EAA"/>
    <w:rsid w:val="002D5258"/>
    <w:rsid w:val="002D6C0D"/>
    <w:rsid w:val="002E0BE8"/>
    <w:rsid w:val="002E14F4"/>
    <w:rsid w:val="002E4440"/>
    <w:rsid w:val="002E4924"/>
    <w:rsid w:val="002E4E9E"/>
    <w:rsid w:val="002E59CF"/>
    <w:rsid w:val="002E7223"/>
    <w:rsid w:val="002F0EA8"/>
    <w:rsid w:val="002F211D"/>
    <w:rsid w:val="002F35D8"/>
    <w:rsid w:val="002F5B54"/>
    <w:rsid w:val="002F7850"/>
    <w:rsid w:val="003000F6"/>
    <w:rsid w:val="003003F4"/>
    <w:rsid w:val="0030312F"/>
    <w:rsid w:val="00303A28"/>
    <w:rsid w:val="00305A82"/>
    <w:rsid w:val="00307599"/>
    <w:rsid w:val="0031081A"/>
    <w:rsid w:val="00313447"/>
    <w:rsid w:val="00313D56"/>
    <w:rsid w:val="00314350"/>
    <w:rsid w:val="00314A12"/>
    <w:rsid w:val="00315388"/>
    <w:rsid w:val="003153CA"/>
    <w:rsid w:val="00317507"/>
    <w:rsid w:val="003175D4"/>
    <w:rsid w:val="003208F3"/>
    <w:rsid w:val="00322130"/>
    <w:rsid w:val="003222DD"/>
    <w:rsid w:val="0032305B"/>
    <w:rsid w:val="00323B5F"/>
    <w:rsid w:val="003255F3"/>
    <w:rsid w:val="003277E7"/>
    <w:rsid w:val="003279EF"/>
    <w:rsid w:val="0033113E"/>
    <w:rsid w:val="003320A3"/>
    <w:rsid w:val="003359EC"/>
    <w:rsid w:val="003427D6"/>
    <w:rsid w:val="00343BF1"/>
    <w:rsid w:val="00343E57"/>
    <w:rsid w:val="003453F9"/>
    <w:rsid w:val="0035037C"/>
    <w:rsid w:val="00351CFB"/>
    <w:rsid w:val="00352B8D"/>
    <w:rsid w:val="00354AF7"/>
    <w:rsid w:val="003575AF"/>
    <w:rsid w:val="00360AB5"/>
    <w:rsid w:val="00362331"/>
    <w:rsid w:val="003633CF"/>
    <w:rsid w:val="003634CC"/>
    <w:rsid w:val="00363579"/>
    <w:rsid w:val="00363791"/>
    <w:rsid w:val="00363AAF"/>
    <w:rsid w:val="003673B1"/>
    <w:rsid w:val="003674B9"/>
    <w:rsid w:val="003677F1"/>
    <w:rsid w:val="003679B7"/>
    <w:rsid w:val="00371BAF"/>
    <w:rsid w:val="00372A58"/>
    <w:rsid w:val="00373296"/>
    <w:rsid w:val="00373BC6"/>
    <w:rsid w:val="003745DB"/>
    <w:rsid w:val="00374C9D"/>
    <w:rsid w:val="00376B7E"/>
    <w:rsid w:val="003808DD"/>
    <w:rsid w:val="00381BAF"/>
    <w:rsid w:val="003820F6"/>
    <w:rsid w:val="00382E96"/>
    <w:rsid w:val="00384970"/>
    <w:rsid w:val="00386D71"/>
    <w:rsid w:val="00391EE9"/>
    <w:rsid w:val="00396AD0"/>
    <w:rsid w:val="003A0249"/>
    <w:rsid w:val="003A1BC8"/>
    <w:rsid w:val="003A2B36"/>
    <w:rsid w:val="003A72AB"/>
    <w:rsid w:val="003A7665"/>
    <w:rsid w:val="003B22AC"/>
    <w:rsid w:val="003B3F8E"/>
    <w:rsid w:val="003B6485"/>
    <w:rsid w:val="003B76C7"/>
    <w:rsid w:val="003B7794"/>
    <w:rsid w:val="003C0EF6"/>
    <w:rsid w:val="003C1B3D"/>
    <w:rsid w:val="003C3218"/>
    <w:rsid w:val="003C42C5"/>
    <w:rsid w:val="003C4605"/>
    <w:rsid w:val="003C7072"/>
    <w:rsid w:val="003D037C"/>
    <w:rsid w:val="003D1492"/>
    <w:rsid w:val="003D23D6"/>
    <w:rsid w:val="003D5240"/>
    <w:rsid w:val="003E1B24"/>
    <w:rsid w:val="003E333F"/>
    <w:rsid w:val="003E3875"/>
    <w:rsid w:val="003E5C5A"/>
    <w:rsid w:val="003E6756"/>
    <w:rsid w:val="003E6840"/>
    <w:rsid w:val="003E68C8"/>
    <w:rsid w:val="003E7249"/>
    <w:rsid w:val="003F0F64"/>
    <w:rsid w:val="003F16FE"/>
    <w:rsid w:val="003F2C0A"/>
    <w:rsid w:val="003F39F5"/>
    <w:rsid w:val="003F5ED6"/>
    <w:rsid w:val="003F6546"/>
    <w:rsid w:val="003F70C4"/>
    <w:rsid w:val="003F7B75"/>
    <w:rsid w:val="003F7EA2"/>
    <w:rsid w:val="004012B5"/>
    <w:rsid w:val="00401FE2"/>
    <w:rsid w:val="004021D8"/>
    <w:rsid w:val="00406FE0"/>
    <w:rsid w:val="00407662"/>
    <w:rsid w:val="00413B7D"/>
    <w:rsid w:val="00417047"/>
    <w:rsid w:val="004173F0"/>
    <w:rsid w:val="004210CA"/>
    <w:rsid w:val="004233B6"/>
    <w:rsid w:val="00424070"/>
    <w:rsid w:val="00424604"/>
    <w:rsid w:val="00425B64"/>
    <w:rsid w:val="00425F41"/>
    <w:rsid w:val="00425F4C"/>
    <w:rsid w:val="00430057"/>
    <w:rsid w:val="0043013F"/>
    <w:rsid w:val="00431269"/>
    <w:rsid w:val="00431574"/>
    <w:rsid w:val="00432CF8"/>
    <w:rsid w:val="004345E1"/>
    <w:rsid w:val="004361DD"/>
    <w:rsid w:val="0043635B"/>
    <w:rsid w:val="00436A71"/>
    <w:rsid w:val="00441246"/>
    <w:rsid w:val="0044159B"/>
    <w:rsid w:val="00444EDA"/>
    <w:rsid w:val="00447A74"/>
    <w:rsid w:val="004506DD"/>
    <w:rsid w:val="00450ED6"/>
    <w:rsid w:val="00453AC1"/>
    <w:rsid w:val="00457101"/>
    <w:rsid w:val="00457742"/>
    <w:rsid w:val="00460156"/>
    <w:rsid w:val="00462E1E"/>
    <w:rsid w:val="00462EDD"/>
    <w:rsid w:val="0046514B"/>
    <w:rsid w:val="00465A13"/>
    <w:rsid w:val="00471005"/>
    <w:rsid w:val="00471FFE"/>
    <w:rsid w:val="00472B13"/>
    <w:rsid w:val="00474FC9"/>
    <w:rsid w:val="00475700"/>
    <w:rsid w:val="0047676B"/>
    <w:rsid w:val="004771C9"/>
    <w:rsid w:val="004814E0"/>
    <w:rsid w:val="00481B61"/>
    <w:rsid w:val="004825EC"/>
    <w:rsid w:val="00482660"/>
    <w:rsid w:val="00483033"/>
    <w:rsid w:val="00483C8D"/>
    <w:rsid w:val="00485618"/>
    <w:rsid w:val="00486908"/>
    <w:rsid w:val="00490BEC"/>
    <w:rsid w:val="004921C0"/>
    <w:rsid w:val="00492629"/>
    <w:rsid w:val="00493FEC"/>
    <w:rsid w:val="0049561E"/>
    <w:rsid w:val="00495C46"/>
    <w:rsid w:val="00496460"/>
    <w:rsid w:val="00496EDB"/>
    <w:rsid w:val="00497363"/>
    <w:rsid w:val="004A057B"/>
    <w:rsid w:val="004A0BA6"/>
    <w:rsid w:val="004A2B9E"/>
    <w:rsid w:val="004A4DD2"/>
    <w:rsid w:val="004A5609"/>
    <w:rsid w:val="004A5FF1"/>
    <w:rsid w:val="004A7A75"/>
    <w:rsid w:val="004B0B62"/>
    <w:rsid w:val="004B290C"/>
    <w:rsid w:val="004B6F11"/>
    <w:rsid w:val="004B7699"/>
    <w:rsid w:val="004C1D65"/>
    <w:rsid w:val="004C2E00"/>
    <w:rsid w:val="004C34CC"/>
    <w:rsid w:val="004C42D3"/>
    <w:rsid w:val="004C6095"/>
    <w:rsid w:val="004C7029"/>
    <w:rsid w:val="004C733A"/>
    <w:rsid w:val="004C7F8D"/>
    <w:rsid w:val="004D0960"/>
    <w:rsid w:val="004D0ACA"/>
    <w:rsid w:val="004D2867"/>
    <w:rsid w:val="004D34E1"/>
    <w:rsid w:val="004D73FF"/>
    <w:rsid w:val="004D782E"/>
    <w:rsid w:val="004D7B30"/>
    <w:rsid w:val="004E0D69"/>
    <w:rsid w:val="004E18CB"/>
    <w:rsid w:val="004E234E"/>
    <w:rsid w:val="004E2802"/>
    <w:rsid w:val="004E3294"/>
    <w:rsid w:val="004E4688"/>
    <w:rsid w:val="004E639E"/>
    <w:rsid w:val="004E6971"/>
    <w:rsid w:val="004E78A6"/>
    <w:rsid w:val="004F092A"/>
    <w:rsid w:val="004F1053"/>
    <w:rsid w:val="004F117B"/>
    <w:rsid w:val="004F1B95"/>
    <w:rsid w:val="004F3FB8"/>
    <w:rsid w:val="0050069A"/>
    <w:rsid w:val="00507590"/>
    <w:rsid w:val="00511140"/>
    <w:rsid w:val="005118B0"/>
    <w:rsid w:val="00513DAF"/>
    <w:rsid w:val="005147FD"/>
    <w:rsid w:val="0051484B"/>
    <w:rsid w:val="0051679A"/>
    <w:rsid w:val="00517525"/>
    <w:rsid w:val="00520A02"/>
    <w:rsid w:val="00522A36"/>
    <w:rsid w:val="00522A95"/>
    <w:rsid w:val="00523BA9"/>
    <w:rsid w:val="00524145"/>
    <w:rsid w:val="00524E06"/>
    <w:rsid w:val="005250BC"/>
    <w:rsid w:val="00525725"/>
    <w:rsid w:val="00525B3C"/>
    <w:rsid w:val="0052667E"/>
    <w:rsid w:val="00526C9F"/>
    <w:rsid w:val="00527CC1"/>
    <w:rsid w:val="00527F05"/>
    <w:rsid w:val="0053152D"/>
    <w:rsid w:val="0053532F"/>
    <w:rsid w:val="00536BD0"/>
    <w:rsid w:val="00537938"/>
    <w:rsid w:val="00541B5A"/>
    <w:rsid w:val="00541E4E"/>
    <w:rsid w:val="00543C18"/>
    <w:rsid w:val="005449D1"/>
    <w:rsid w:val="0054663D"/>
    <w:rsid w:val="00550374"/>
    <w:rsid w:val="005524D0"/>
    <w:rsid w:val="00553336"/>
    <w:rsid w:val="00553CE0"/>
    <w:rsid w:val="00553D8F"/>
    <w:rsid w:val="00555E1E"/>
    <w:rsid w:val="005562C2"/>
    <w:rsid w:val="00556FC7"/>
    <w:rsid w:val="00560666"/>
    <w:rsid w:val="005608E7"/>
    <w:rsid w:val="005616CB"/>
    <w:rsid w:val="00562F16"/>
    <w:rsid w:val="005639B7"/>
    <w:rsid w:val="0056577E"/>
    <w:rsid w:val="005670C8"/>
    <w:rsid w:val="005715DF"/>
    <w:rsid w:val="00572C87"/>
    <w:rsid w:val="005736BE"/>
    <w:rsid w:val="00574131"/>
    <w:rsid w:val="00574F59"/>
    <w:rsid w:val="00575A6F"/>
    <w:rsid w:val="00575E83"/>
    <w:rsid w:val="00576575"/>
    <w:rsid w:val="0057727D"/>
    <w:rsid w:val="00577466"/>
    <w:rsid w:val="0057760C"/>
    <w:rsid w:val="0058014D"/>
    <w:rsid w:val="00582E2B"/>
    <w:rsid w:val="005872B2"/>
    <w:rsid w:val="00591340"/>
    <w:rsid w:val="00591519"/>
    <w:rsid w:val="0059175E"/>
    <w:rsid w:val="00591CC1"/>
    <w:rsid w:val="005933ED"/>
    <w:rsid w:val="00593F11"/>
    <w:rsid w:val="00594117"/>
    <w:rsid w:val="005948BD"/>
    <w:rsid w:val="00594C36"/>
    <w:rsid w:val="005955E0"/>
    <w:rsid w:val="00596165"/>
    <w:rsid w:val="00596315"/>
    <w:rsid w:val="00596567"/>
    <w:rsid w:val="00596BB9"/>
    <w:rsid w:val="00597838"/>
    <w:rsid w:val="005A301D"/>
    <w:rsid w:val="005B0665"/>
    <w:rsid w:val="005B1240"/>
    <w:rsid w:val="005B426B"/>
    <w:rsid w:val="005B4ED7"/>
    <w:rsid w:val="005B5B1B"/>
    <w:rsid w:val="005B62DA"/>
    <w:rsid w:val="005C06C5"/>
    <w:rsid w:val="005C0CCE"/>
    <w:rsid w:val="005C1FFB"/>
    <w:rsid w:val="005C44DC"/>
    <w:rsid w:val="005C57C7"/>
    <w:rsid w:val="005C69A5"/>
    <w:rsid w:val="005D11B8"/>
    <w:rsid w:val="005D2146"/>
    <w:rsid w:val="005D39C7"/>
    <w:rsid w:val="005D4106"/>
    <w:rsid w:val="005D6159"/>
    <w:rsid w:val="005D663C"/>
    <w:rsid w:val="005D69B1"/>
    <w:rsid w:val="005D73E3"/>
    <w:rsid w:val="005D7A71"/>
    <w:rsid w:val="005E0374"/>
    <w:rsid w:val="005E16E2"/>
    <w:rsid w:val="005E178C"/>
    <w:rsid w:val="005E1BD4"/>
    <w:rsid w:val="005E32D5"/>
    <w:rsid w:val="005E5D6B"/>
    <w:rsid w:val="005F0632"/>
    <w:rsid w:val="005F1681"/>
    <w:rsid w:val="005F316C"/>
    <w:rsid w:val="005F3409"/>
    <w:rsid w:val="005F3ED7"/>
    <w:rsid w:val="005F4124"/>
    <w:rsid w:val="005F71B0"/>
    <w:rsid w:val="00601746"/>
    <w:rsid w:val="006049B6"/>
    <w:rsid w:val="006054A7"/>
    <w:rsid w:val="0060599B"/>
    <w:rsid w:val="00607BC0"/>
    <w:rsid w:val="0061138C"/>
    <w:rsid w:val="00615319"/>
    <w:rsid w:val="00615328"/>
    <w:rsid w:val="0061569A"/>
    <w:rsid w:val="00617514"/>
    <w:rsid w:val="00620AA7"/>
    <w:rsid w:val="00620D21"/>
    <w:rsid w:val="00621F58"/>
    <w:rsid w:val="006240EA"/>
    <w:rsid w:val="0062650A"/>
    <w:rsid w:val="006279F0"/>
    <w:rsid w:val="0063112E"/>
    <w:rsid w:val="00631374"/>
    <w:rsid w:val="006338EF"/>
    <w:rsid w:val="006364D0"/>
    <w:rsid w:val="0063676E"/>
    <w:rsid w:val="0063718B"/>
    <w:rsid w:val="0064132D"/>
    <w:rsid w:val="00644A19"/>
    <w:rsid w:val="00646ABF"/>
    <w:rsid w:val="00646B59"/>
    <w:rsid w:val="00655E93"/>
    <w:rsid w:val="00656493"/>
    <w:rsid w:val="006564AC"/>
    <w:rsid w:val="006570F7"/>
    <w:rsid w:val="006649E2"/>
    <w:rsid w:val="00664FE3"/>
    <w:rsid w:val="00665DB7"/>
    <w:rsid w:val="00666559"/>
    <w:rsid w:val="00670AA8"/>
    <w:rsid w:val="006730B7"/>
    <w:rsid w:val="006737BC"/>
    <w:rsid w:val="00674498"/>
    <w:rsid w:val="00674AB2"/>
    <w:rsid w:val="0067731E"/>
    <w:rsid w:val="00677E42"/>
    <w:rsid w:val="0068080C"/>
    <w:rsid w:val="006825F1"/>
    <w:rsid w:val="006828B8"/>
    <w:rsid w:val="00683052"/>
    <w:rsid w:val="00684034"/>
    <w:rsid w:val="00687F06"/>
    <w:rsid w:val="00690DF4"/>
    <w:rsid w:val="00690F53"/>
    <w:rsid w:val="0069349A"/>
    <w:rsid w:val="00693997"/>
    <w:rsid w:val="00694BB7"/>
    <w:rsid w:val="00695C0F"/>
    <w:rsid w:val="00697177"/>
    <w:rsid w:val="006A2B28"/>
    <w:rsid w:val="006A3187"/>
    <w:rsid w:val="006A7738"/>
    <w:rsid w:val="006A7C40"/>
    <w:rsid w:val="006B049B"/>
    <w:rsid w:val="006B06B7"/>
    <w:rsid w:val="006B2DA4"/>
    <w:rsid w:val="006B4798"/>
    <w:rsid w:val="006B4963"/>
    <w:rsid w:val="006B56D4"/>
    <w:rsid w:val="006B71A2"/>
    <w:rsid w:val="006B7645"/>
    <w:rsid w:val="006B7E67"/>
    <w:rsid w:val="006C01E8"/>
    <w:rsid w:val="006C0919"/>
    <w:rsid w:val="006C0932"/>
    <w:rsid w:val="006C1449"/>
    <w:rsid w:val="006C1EA4"/>
    <w:rsid w:val="006C2684"/>
    <w:rsid w:val="006C388F"/>
    <w:rsid w:val="006C4A7B"/>
    <w:rsid w:val="006C5A97"/>
    <w:rsid w:val="006C6BD8"/>
    <w:rsid w:val="006D07E1"/>
    <w:rsid w:val="006D2A75"/>
    <w:rsid w:val="006D4683"/>
    <w:rsid w:val="006D55A1"/>
    <w:rsid w:val="006D592F"/>
    <w:rsid w:val="006D7A44"/>
    <w:rsid w:val="006E0C8C"/>
    <w:rsid w:val="006E1349"/>
    <w:rsid w:val="006E2178"/>
    <w:rsid w:val="006E2D50"/>
    <w:rsid w:val="006E33AE"/>
    <w:rsid w:val="006E40D3"/>
    <w:rsid w:val="006E4286"/>
    <w:rsid w:val="006E763C"/>
    <w:rsid w:val="006F123E"/>
    <w:rsid w:val="006F18E1"/>
    <w:rsid w:val="006F1DA6"/>
    <w:rsid w:val="006F63E1"/>
    <w:rsid w:val="006F6FBA"/>
    <w:rsid w:val="00700421"/>
    <w:rsid w:val="00700553"/>
    <w:rsid w:val="00700FDC"/>
    <w:rsid w:val="0070224F"/>
    <w:rsid w:val="007037C8"/>
    <w:rsid w:val="00703DD1"/>
    <w:rsid w:val="007058DC"/>
    <w:rsid w:val="007063FB"/>
    <w:rsid w:val="007073DB"/>
    <w:rsid w:val="007143C5"/>
    <w:rsid w:val="00714AEB"/>
    <w:rsid w:val="00715162"/>
    <w:rsid w:val="0071641C"/>
    <w:rsid w:val="0071726A"/>
    <w:rsid w:val="00720174"/>
    <w:rsid w:val="00722F24"/>
    <w:rsid w:val="00723261"/>
    <w:rsid w:val="00730F11"/>
    <w:rsid w:val="00732D9D"/>
    <w:rsid w:val="0073316D"/>
    <w:rsid w:val="007353A2"/>
    <w:rsid w:val="007367C7"/>
    <w:rsid w:val="007403B3"/>
    <w:rsid w:val="00740BB6"/>
    <w:rsid w:val="00741797"/>
    <w:rsid w:val="00742A8F"/>
    <w:rsid w:val="00744FA5"/>
    <w:rsid w:val="00745744"/>
    <w:rsid w:val="00745ACA"/>
    <w:rsid w:val="00746697"/>
    <w:rsid w:val="0075045B"/>
    <w:rsid w:val="00750534"/>
    <w:rsid w:val="00750673"/>
    <w:rsid w:val="00750A30"/>
    <w:rsid w:val="00752283"/>
    <w:rsid w:val="00753384"/>
    <w:rsid w:val="0075364C"/>
    <w:rsid w:val="0075477F"/>
    <w:rsid w:val="007548CE"/>
    <w:rsid w:val="00755667"/>
    <w:rsid w:val="00755EE8"/>
    <w:rsid w:val="007607FF"/>
    <w:rsid w:val="00761AF8"/>
    <w:rsid w:val="00762CE5"/>
    <w:rsid w:val="007738BB"/>
    <w:rsid w:val="00775A88"/>
    <w:rsid w:val="00781398"/>
    <w:rsid w:val="00783655"/>
    <w:rsid w:val="00783970"/>
    <w:rsid w:val="00783B49"/>
    <w:rsid w:val="007842AC"/>
    <w:rsid w:val="007853C8"/>
    <w:rsid w:val="007901B1"/>
    <w:rsid w:val="007910A9"/>
    <w:rsid w:val="0079336F"/>
    <w:rsid w:val="00793F19"/>
    <w:rsid w:val="00794869"/>
    <w:rsid w:val="0079706D"/>
    <w:rsid w:val="0079748B"/>
    <w:rsid w:val="007A1042"/>
    <w:rsid w:val="007A1421"/>
    <w:rsid w:val="007A21C7"/>
    <w:rsid w:val="007A339C"/>
    <w:rsid w:val="007A4D6F"/>
    <w:rsid w:val="007A5A0D"/>
    <w:rsid w:val="007A7CA3"/>
    <w:rsid w:val="007A7EB6"/>
    <w:rsid w:val="007B009E"/>
    <w:rsid w:val="007B0798"/>
    <w:rsid w:val="007B0E2A"/>
    <w:rsid w:val="007B1BEA"/>
    <w:rsid w:val="007B21CB"/>
    <w:rsid w:val="007B2CDD"/>
    <w:rsid w:val="007B35EB"/>
    <w:rsid w:val="007B56BF"/>
    <w:rsid w:val="007B67C9"/>
    <w:rsid w:val="007B7077"/>
    <w:rsid w:val="007B7F0B"/>
    <w:rsid w:val="007C126A"/>
    <w:rsid w:val="007C17F2"/>
    <w:rsid w:val="007C36EF"/>
    <w:rsid w:val="007C4E6A"/>
    <w:rsid w:val="007C6068"/>
    <w:rsid w:val="007C664C"/>
    <w:rsid w:val="007C6738"/>
    <w:rsid w:val="007D1DFA"/>
    <w:rsid w:val="007D2D28"/>
    <w:rsid w:val="007D39AE"/>
    <w:rsid w:val="007D3E47"/>
    <w:rsid w:val="007D4155"/>
    <w:rsid w:val="007D4210"/>
    <w:rsid w:val="007D4E66"/>
    <w:rsid w:val="007E2F52"/>
    <w:rsid w:val="007E56F2"/>
    <w:rsid w:val="007E7246"/>
    <w:rsid w:val="007F0187"/>
    <w:rsid w:val="007F0B42"/>
    <w:rsid w:val="007F2921"/>
    <w:rsid w:val="007F47C1"/>
    <w:rsid w:val="007F6A2C"/>
    <w:rsid w:val="0080119A"/>
    <w:rsid w:val="00804E4E"/>
    <w:rsid w:val="00805A09"/>
    <w:rsid w:val="008077C2"/>
    <w:rsid w:val="0080788E"/>
    <w:rsid w:val="00807BF7"/>
    <w:rsid w:val="008131A6"/>
    <w:rsid w:val="00815A41"/>
    <w:rsid w:val="00815C2A"/>
    <w:rsid w:val="00815CFD"/>
    <w:rsid w:val="00816DE8"/>
    <w:rsid w:val="00821706"/>
    <w:rsid w:val="00821E78"/>
    <w:rsid w:val="00822040"/>
    <w:rsid w:val="008229FD"/>
    <w:rsid w:val="00823E33"/>
    <w:rsid w:val="00824924"/>
    <w:rsid w:val="00824A1D"/>
    <w:rsid w:val="00827E69"/>
    <w:rsid w:val="00835CEC"/>
    <w:rsid w:val="0083637C"/>
    <w:rsid w:val="00836ABB"/>
    <w:rsid w:val="00843EE1"/>
    <w:rsid w:val="008441D2"/>
    <w:rsid w:val="008446BA"/>
    <w:rsid w:val="008454D7"/>
    <w:rsid w:val="008464F1"/>
    <w:rsid w:val="00850C30"/>
    <w:rsid w:val="00850FD2"/>
    <w:rsid w:val="0085249E"/>
    <w:rsid w:val="008525CE"/>
    <w:rsid w:val="0085460C"/>
    <w:rsid w:val="0085472C"/>
    <w:rsid w:val="00856A09"/>
    <w:rsid w:val="00856C3C"/>
    <w:rsid w:val="008574F2"/>
    <w:rsid w:val="0085775B"/>
    <w:rsid w:val="00860D2B"/>
    <w:rsid w:val="00861735"/>
    <w:rsid w:val="00862D8D"/>
    <w:rsid w:val="0086340E"/>
    <w:rsid w:val="00864948"/>
    <w:rsid w:val="00865153"/>
    <w:rsid w:val="00865F99"/>
    <w:rsid w:val="00866DAD"/>
    <w:rsid w:val="00867B1D"/>
    <w:rsid w:val="00867EDD"/>
    <w:rsid w:val="00867F6B"/>
    <w:rsid w:val="00870566"/>
    <w:rsid w:val="008726A4"/>
    <w:rsid w:val="00874B61"/>
    <w:rsid w:val="0087614F"/>
    <w:rsid w:val="0087653B"/>
    <w:rsid w:val="00876E39"/>
    <w:rsid w:val="00877327"/>
    <w:rsid w:val="008813FF"/>
    <w:rsid w:val="00882250"/>
    <w:rsid w:val="008823FD"/>
    <w:rsid w:val="00883A49"/>
    <w:rsid w:val="00884780"/>
    <w:rsid w:val="0088692D"/>
    <w:rsid w:val="008901D2"/>
    <w:rsid w:val="008916C8"/>
    <w:rsid w:val="008918CA"/>
    <w:rsid w:val="00891C25"/>
    <w:rsid w:val="00892880"/>
    <w:rsid w:val="008942E9"/>
    <w:rsid w:val="0089452A"/>
    <w:rsid w:val="008965D2"/>
    <w:rsid w:val="008A069D"/>
    <w:rsid w:val="008A0EAC"/>
    <w:rsid w:val="008A3CB4"/>
    <w:rsid w:val="008A3E38"/>
    <w:rsid w:val="008A42D0"/>
    <w:rsid w:val="008A468F"/>
    <w:rsid w:val="008A67FD"/>
    <w:rsid w:val="008A6D22"/>
    <w:rsid w:val="008A7A6C"/>
    <w:rsid w:val="008A7CC5"/>
    <w:rsid w:val="008B1669"/>
    <w:rsid w:val="008B343A"/>
    <w:rsid w:val="008B4215"/>
    <w:rsid w:val="008B77AA"/>
    <w:rsid w:val="008B7BFE"/>
    <w:rsid w:val="008C2CC0"/>
    <w:rsid w:val="008C6B30"/>
    <w:rsid w:val="008D0976"/>
    <w:rsid w:val="008D2470"/>
    <w:rsid w:val="008D438C"/>
    <w:rsid w:val="008D7AF2"/>
    <w:rsid w:val="008E27B2"/>
    <w:rsid w:val="008E2B58"/>
    <w:rsid w:val="008E2CCB"/>
    <w:rsid w:val="008E328B"/>
    <w:rsid w:val="008E573B"/>
    <w:rsid w:val="008E5F82"/>
    <w:rsid w:val="008E6EAB"/>
    <w:rsid w:val="008E7412"/>
    <w:rsid w:val="008F0CD1"/>
    <w:rsid w:val="008F3CFF"/>
    <w:rsid w:val="008F5F5A"/>
    <w:rsid w:val="008F6253"/>
    <w:rsid w:val="00900547"/>
    <w:rsid w:val="009019AA"/>
    <w:rsid w:val="00901DBC"/>
    <w:rsid w:val="00902EFC"/>
    <w:rsid w:val="00903069"/>
    <w:rsid w:val="00903452"/>
    <w:rsid w:val="00903883"/>
    <w:rsid w:val="009040FF"/>
    <w:rsid w:val="00907012"/>
    <w:rsid w:val="0090759C"/>
    <w:rsid w:val="00914684"/>
    <w:rsid w:val="00915A5F"/>
    <w:rsid w:val="00916289"/>
    <w:rsid w:val="009174DA"/>
    <w:rsid w:val="009175FA"/>
    <w:rsid w:val="0092401F"/>
    <w:rsid w:val="00926140"/>
    <w:rsid w:val="0092684E"/>
    <w:rsid w:val="00926E6B"/>
    <w:rsid w:val="00927A88"/>
    <w:rsid w:val="00931030"/>
    <w:rsid w:val="009322BF"/>
    <w:rsid w:val="00932A5C"/>
    <w:rsid w:val="00933C6A"/>
    <w:rsid w:val="00934C29"/>
    <w:rsid w:val="00934CF5"/>
    <w:rsid w:val="009371BD"/>
    <w:rsid w:val="00937FED"/>
    <w:rsid w:val="0094001C"/>
    <w:rsid w:val="0094097D"/>
    <w:rsid w:val="00940AB6"/>
    <w:rsid w:val="00943776"/>
    <w:rsid w:val="00945143"/>
    <w:rsid w:val="00946DDE"/>
    <w:rsid w:val="0095035E"/>
    <w:rsid w:val="00950411"/>
    <w:rsid w:val="0095072C"/>
    <w:rsid w:val="00950F93"/>
    <w:rsid w:val="00951C07"/>
    <w:rsid w:val="00952FC8"/>
    <w:rsid w:val="00953BEB"/>
    <w:rsid w:val="00954B3D"/>
    <w:rsid w:val="00954C2F"/>
    <w:rsid w:val="0095586F"/>
    <w:rsid w:val="00956C68"/>
    <w:rsid w:val="00963C74"/>
    <w:rsid w:val="009643B5"/>
    <w:rsid w:val="009667F7"/>
    <w:rsid w:val="00967056"/>
    <w:rsid w:val="00967ED5"/>
    <w:rsid w:val="00973807"/>
    <w:rsid w:val="009738AB"/>
    <w:rsid w:val="00974396"/>
    <w:rsid w:val="0097458A"/>
    <w:rsid w:val="00975307"/>
    <w:rsid w:val="00975ADA"/>
    <w:rsid w:val="00976AE1"/>
    <w:rsid w:val="009776D3"/>
    <w:rsid w:val="009805B0"/>
    <w:rsid w:val="00983F75"/>
    <w:rsid w:val="0098672F"/>
    <w:rsid w:val="00986EC9"/>
    <w:rsid w:val="00991EF1"/>
    <w:rsid w:val="00992227"/>
    <w:rsid w:val="00992545"/>
    <w:rsid w:val="00992ACF"/>
    <w:rsid w:val="0099321F"/>
    <w:rsid w:val="00995425"/>
    <w:rsid w:val="00996665"/>
    <w:rsid w:val="00997A19"/>
    <w:rsid w:val="009A1E8B"/>
    <w:rsid w:val="009A2D68"/>
    <w:rsid w:val="009A4CCE"/>
    <w:rsid w:val="009A5F15"/>
    <w:rsid w:val="009A60CD"/>
    <w:rsid w:val="009A6D92"/>
    <w:rsid w:val="009B0E7B"/>
    <w:rsid w:val="009B0F5D"/>
    <w:rsid w:val="009B34A3"/>
    <w:rsid w:val="009B549B"/>
    <w:rsid w:val="009C00AE"/>
    <w:rsid w:val="009C017E"/>
    <w:rsid w:val="009C064B"/>
    <w:rsid w:val="009C5621"/>
    <w:rsid w:val="009C6A9D"/>
    <w:rsid w:val="009C7710"/>
    <w:rsid w:val="009C7A4B"/>
    <w:rsid w:val="009D1FAC"/>
    <w:rsid w:val="009D2BAB"/>
    <w:rsid w:val="009D656D"/>
    <w:rsid w:val="009D7747"/>
    <w:rsid w:val="009E7181"/>
    <w:rsid w:val="009F0657"/>
    <w:rsid w:val="009F13BD"/>
    <w:rsid w:val="009F2107"/>
    <w:rsid w:val="009F2F16"/>
    <w:rsid w:val="009F672D"/>
    <w:rsid w:val="009F7110"/>
    <w:rsid w:val="00A006AA"/>
    <w:rsid w:val="00A012CD"/>
    <w:rsid w:val="00A05847"/>
    <w:rsid w:val="00A071CD"/>
    <w:rsid w:val="00A10E82"/>
    <w:rsid w:val="00A12472"/>
    <w:rsid w:val="00A1423F"/>
    <w:rsid w:val="00A1434A"/>
    <w:rsid w:val="00A146B8"/>
    <w:rsid w:val="00A14CDC"/>
    <w:rsid w:val="00A169B9"/>
    <w:rsid w:val="00A16A86"/>
    <w:rsid w:val="00A21356"/>
    <w:rsid w:val="00A216C2"/>
    <w:rsid w:val="00A21889"/>
    <w:rsid w:val="00A21A27"/>
    <w:rsid w:val="00A224AC"/>
    <w:rsid w:val="00A22BAA"/>
    <w:rsid w:val="00A308C1"/>
    <w:rsid w:val="00A333A2"/>
    <w:rsid w:val="00A33B9C"/>
    <w:rsid w:val="00A36B29"/>
    <w:rsid w:val="00A36D4A"/>
    <w:rsid w:val="00A405AA"/>
    <w:rsid w:val="00A43A2B"/>
    <w:rsid w:val="00A43FC9"/>
    <w:rsid w:val="00A45BD8"/>
    <w:rsid w:val="00A4666D"/>
    <w:rsid w:val="00A46CB4"/>
    <w:rsid w:val="00A46D67"/>
    <w:rsid w:val="00A47449"/>
    <w:rsid w:val="00A47494"/>
    <w:rsid w:val="00A50249"/>
    <w:rsid w:val="00A55926"/>
    <w:rsid w:val="00A62E1C"/>
    <w:rsid w:val="00A64882"/>
    <w:rsid w:val="00A64C72"/>
    <w:rsid w:val="00A7019F"/>
    <w:rsid w:val="00A70C9A"/>
    <w:rsid w:val="00A7246F"/>
    <w:rsid w:val="00A72832"/>
    <w:rsid w:val="00A7301E"/>
    <w:rsid w:val="00A730D2"/>
    <w:rsid w:val="00A74576"/>
    <w:rsid w:val="00A747E7"/>
    <w:rsid w:val="00A74EB4"/>
    <w:rsid w:val="00A759F5"/>
    <w:rsid w:val="00A760AA"/>
    <w:rsid w:val="00A7656D"/>
    <w:rsid w:val="00A8268C"/>
    <w:rsid w:val="00A8390F"/>
    <w:rsid w:val="00A90445"/>
    <w:rsid w:val="00A90E4C"/>
    <w:rsid w:val="00A93DCD"/>
    <w:rsid w:val="00A94256"/>
    <w:rsid w:val="00A9437D"/>
    <w:rsid w:val="00A95F49"/>
    <w:rsid w:val="00A97277"/>
    <w:rsid w:val="00AA65FD"/>
    <w:rsid w:val="00AB3077"/>
    <w:rsid w:val="00AB3BBB"/>
    <w:rsid w:val="00AB4B9B"/>
    <w:rsid w:val="00AC0D74"/>
    <w:rsid w:val="00AC1350"/>
    <w:rsid w:val="00AC2C08"/>
    <w:rsid w:val="00AC347C"/>
    <w:rsid w:val="00AC7842"/>
    <w:rsid w:val="00AC7AE2"/>
    <w:rsid w:val="00AD0E0E"/>
    <w:rsid w:val="00AD1694"/>
    <w:rsid w:val="00AD29EC"/>
    <w:rsid w:val="00AD39DF"/>
    <w:rsid w:val="00AD5344"/>
    <w:rsid w:val="00AD7AF7"/>
    <w:rsid w:val="00AE4CD3"/>
    <w:rsid w:val="00AE643C"/>
    <w:rsid w:val="00AE7EEA"/>
    <w:rsid w:val="00AF08E6"/>
    <w:rsid w:val="00AF4C65"/>
    <w:rsid w:val="00AF5B86"/>
    <w:rsid w:val="00AF5D7A"/>
    <w:rsid w:val="00AF71D0"/>
    <w:rsid w:val="00B015FB"/>
    <w:rsid w:val="00B01E45"/>
    <w:rsid w:val="00B03F36"/>
    <w:rsid w:val="00B06696"/>
    <w:rsid w:val="00B06C5F"/>
    <w:rsid w:val="00B14351"/>
    <w:rsid w:val="00B14D15"/>
    <w:rsid w:val="00B15784"/>
    <w:rsid w:val="00B160A9"/>
    <w:rsid w:val="00B17D1E"/>
    <w:rsid w:val="00B20162"/>
    <w:rsid w:val="00B2222B"/>
    <w:rsid w:val="00B26934"/>
    <w:rsid w:val="00B26967"/>
    <w:rsid w:val="00B30BDE"/>
    <w:rsid w:val="00B316D2"/>
    <w:rsid w:val="00B3395F"/>
    <w:rsid w:val="00B37A3B"/>
    <w:rsid w:val="00B401F3"/>
    <w:rsid w:val="00B413B9"/>
    <w:rsid w:val="00B423D2"/>
    <w:rsid w:val="00B42EC5"/>
    <w:rsid w:val="00B546C3"/>
    <w:rsid w:val="00B5472C"/>
    <w:rsid w:val="00B55D03"/>
    <w:rsid w:val="00B61E3A"/>
    <w:rsid w:val="00B627AB"/>
    <w:rsid w:val="00B6463A"/>
    <w:rsid w:val="00B6493D"/>
    <w:rsid w:val="00B65F68"/>
    <w:rsid w:val="00B67632"/>
    <w:rsid w:val="00B676D3"/>
    <w:rsid w:val="00B676EC"/>
    <w:rsid w:val="00B678BF"/>
    <w:rsid w:val="00B67C63"/>
    <w:rsid w:val="00B70F37"/>
    <w:rsid w:val="00B76510"/>
    <w:rsid w:val="00B77DB9"/>
    <w:rsid w:val="00B80193"/>
    <w:rsid w:val="00B8108A"/>
    <w:rsid w:val="00B813D8"/>
    <w:rsid w:val="00B849D3"/>
    <w:rsid w:val="00B854DA"/>
    <w:rsid w:val="00B87FA4"/>
    <w:rsid w:val="00B901C6"/>
    <w:rsid w:val="00B90C15"/>
    <w:rsid w:val="00B90CDC"/>
    <w:rsid w:val="00B92618"/>
    <w:rsid w:val="00B9272E"/>
    <w:rsid w:val="00B94ACF"/>
    <w:rsid w:val="00B9722F"/>
    <w:rsid w:val="00BA5524"/>
    <w:rsid w:val="00BA5DE3"/>
    <w:rsid w:val="00BA6E0E"/>
    <w:rsid w:val="00BA7DC4"/>
    <w:rsid w:val="00BB0327"/>
    <w:rsid w:val="00BB231C"/>
    <w:rsid w:val="00BB31BD"/>
    <w:rsid w:val="00BB3693"/>
    <w:rsid w:val="00BB3CD3"/>
    <w:rsid w:val="00BB3DBC"/>
    <w:rsid w:val="00BB6E84"/>
    <w:rsid w:val="00BB6EC0"/>
    <w:rsid w:val="00BB7190"/>
    <w:rsid w:val="00BB782A"/>
    <w:rsid w:val="00BC0EF0"/>
    <w:rsid w:val="00BC0F59"/>
    <w:rsid w:val="00BC175C"/>
    <w:rsid w:val="00BC1E8F"/>
    <w:rsid w:val="00BC2E2C"/>
    <w:rsid w:val="00BC4ABE"/>
    <w:rsid w:val="00BC4D80"/>
    <w:rsid w:val="00BC5D02"/>
    <w:rsid w:val="00BD02E5"/>
    <w:rsid w:val="00BD1C70"/>
    <w:rsid w:val="00BD2A9A"/>
    <w:rsid w:val="00BD31C4"/>
    <w:rsid w:val="00BD516A"/>
    <w:rsid w:val="00BD5B65"/>
    <w:rsid w:val="00BE0563"/>
    <w:rsid w:val="00BE13A9"/>
    <w:rsid w:val="00BE1FAE"/>
    <w:rsid w:val="00BE373E"/>
    <w:rsid w:val="00BE3E4C"/>
    <w:rsid w:val="00BE4414"/>
    <w:rsid w:val="00BE6479"/>
    <w:rsid w:val="00BE6F20"/>
    <w:rsid w:val="00BE7457"/>
    <w:rsid w:val="00BF0501"/>
    <w:rsid w:val="00BF356E"/>
    <w:rsid w:val="00BF7BB6"/>
    <w:rsid w:val="00C0547C"/>
    <w:rsid w:val="00C065A4"/>
    <w:rsid w:val="00C0682B"/>
    <w:rsid w:val="00C100EC"/>
    <w:rsid w:val="00C1092D"/>
    <w:rsid w:val="00C10D0F"/>
    <w:rsid w:val="00C116B5"/>
    <w:rsid w:val="00C11AA3"/>
    <w:rsid w:val="00C12679"/>
    <w:rsid w:val="00C133A0"/>
    <w:rsid w:val="00C13CF0"/>
    <w:rsid w:val="00C14741"/>
    <w:rsid w:val="00C156D5"/>
    <w:rsid w:val="00C21796"/>
    <w:rsid w:val="00C2258E"/>
    <w:rsid w:val="00C22A3A"/>
    <w:rsid w:val="00C230C0"/>
    <w:rsid w:val="00C24C96"/>
    <w:rsid w:val="00C26413"/>
    <w:rsid w:val="00C3032A"/>
    <w:rsid w:val="00C310D1"/>
    <w:rsid w:val="00C326F1"/>
    <w:rsid w:val="00C36955"/>
    <w:rsid w:val="00C3744B"/>
    <w:rsid w:val="00C40D83"/>
    <w:rsid w:val="00C41EFA"/>
    <w:rsid w:val="00C427C9"/>
    <w:rsid w:val="00C42B74"/>
    <w:rsid w:val="00C42EAD"/>
    <w:rsid w:val="00C433F1"/>
    <w:rsid w:val="00C4344F"/>
    <w:rsid w:val="00C438E8"/>
    <w:rsid w:val="00C44DEF"/>
    <w:rsid w:val="00C45031"/>
    <w:rsid w:val="00C45EB4"/>
    <w:rsid w:val="00C46514"/>
    <w:rsid w:val="00C468D4"/>
    <w:rsid w:val="00C46A7D"/>
    <w:rsid w:val="00C46CC6"/>
    <w:rsid w:val="00C47473"/>
    <w:rsid w:val="00C50017"/>
    <w:rsid w:val="00C5237A"/>
    <w:rsid w:val="00C52464"/>
    <w:rsid w:val="00C534B3"/>
    <w:rsid w:val="00C5362D"/>
    <w:rsid w:val="00C5593D"/>
    <w:rsid w:val="00C5605C"/>
    <w:rsid w:val="00C57980"/>
    <w:rsid w:val="00C610FD"/>
    <w:rsid w:val="00C612B4"/>
    <w:rsid w:val="00C6153A"/>
    <w:rsid w:val="00C61D1E"/>
    <w:rsid w:val="00C63C51"/>
    <w:rsid w:val="00C63EC1"/>
    <w:rsid w:val="00C63F7B"/>
    <w:rsid w:val="00C6433C"/>
    <w:rsid w:val="00C64F09"/>
    <w:rsid w:val="00C65029"/>
    <w:rsid w:val="00C65D37"/>
    <w:rsid w:val="00C65D38"/>
    <w:rsid w:val="00C6606D"/>
    <w:rsid w:val="00C717C0"/>
    <w:rsid w:val="00C71926"/>
    <w:rsid w:val="00C73529"/>
    <w:rsid w:val="00C74EFA"/>
    <w:rsid w:val="00C80F80"/>
    <w:rsid w:val="00C82485"/>
    <w:rsid w:val="00C85316"/>
    <w:rsid w:val="00C8650D"/>
    <w:rsid w:val="00C87512"/>
    <w:rsid w:val="00C87E63"/>
    <w:rsid w:val="00C901CB"/>
    <w:rsid w:val="00C9111A"/>
    <w:rsid w:val="00C921E6"/>
    <w:rsid w:val="00C94876"/>
    <w:rsid w:val="00CA12AA"/>
    <w:rsid w:val="00CA1835"/>
    <w:rsid w:val="00CA1F30"/>
    <w:rsid w:val="00CA2DBE"/>
    <w:rsid w:val="00CA3436"/>
    <w:rsid w:val="00CA3A98"/>
    <w:rsid w:val="00CA4BFE"/>
    <w:rsid w:val="00CA4D34"/>
    <w:rsid w:val="00CA4DE1"/>
    <w:rsid w:val="00CA5002"/>
    <w:rsid w:val="00CA59BB"/>
    <w:rsid w:val="00CB012B"/>
    <w:rsid w:val="00CB1614"/>
    <w:rsid w:val="00CB28E7"/>
    <w:rsid w:val="00CB379E"/>
    <w:rsid w:val="00CB3CE0"/>
    <w:rsid w:val="00CB40C0"/>
    <w:rsid w:val="00CB5406"/>
    <w:rsid w:val="00CB6F3C"/>
    <w:rsid w:val="00CB7201"/>
    <w:rsid w:val="00CC0666"/>
    <w:rsid w:val="00CC0D29"/>
    <w:rsid w:val="00CC10BB"/>
    <w:rsid w:val="00CC20EA"/>
    <w:rsid w:val="00CC3043"/>
    <w:rsid w:val="00CC34F2"/>
    <w:rsid w:val="00CC612E"/>
    <w:rsid w:val="00CC69A8"/>
    <w:rsid w:val="00CC6A62"/>
    <w:rsid w:val="00CC7DF0"/>
    <w:rsid w:val="00CD01A5"/>
    <w:rsid w:val="00CD702C"/>
    <w:rsid w:val="00CD7F73"/>
    <w:rsid w:val="00CE224F"/>
    <w:rsid w:val="00CE262A"/>
    <w:rsid w:val="00CE346B"/>
    <w:rsid w:val="00CE43D1"/>
    <w:rsid w:val="00CE5C55"/>
    <w:rsid w:val="00CE5E0E"/>
    <w:rsid w:val="00CE641A"/>
    <w:rsid w:val="00CE6B36"/>
    <w:rsid w:val="00CF27D1"/>
    <w:rsid w:val="00CF2A11"/>
    <w:rsid w:val="00CF5486"/>
    <w:rsid w:val="00CF5817"/>
    <w:rsid w:val="00D02572"/>
    <w:rsid w:val="00D03387"/>
    <w:rsid w:val="00D0392E"/>
    <w:rsid w:val="00D039A5"/>
    <w:rsid w:val="00D10469"/>
    <w:rsid w:val="00D12506"/>
    <w:rsid w:val="00D1345E"/>
    <w:rsid w:val="00D145EC"/>
    <w:rsid w:val="00D149AD"/>
    <w:rsid w:val="00D1671B"/>
    <w:rsid w:val="00D16E34"/>
    <w:rsid w:val="00D209FE"/>
    <w:rsid w:val="00D21A65"/>
    <w:rsid w:val="00D21ED0"/>
    <w:rsid w:val="00D23F9F"/>
    <w:rsid w:val="00D2421D"/>
    <w:rsid w:val="00D271D4"/>
    <w:rsid w:val="00D2734A"/>
    <w:rsid w:val="00D3061B"/>
    <w:rsid w:val="00D30723"/>
    <w:rsid w:val="00D31263"/>
    <w:rsid w:val="00D32309"/>
    <w:rsid w:val="00D342EF"/>
    <w:rsid w:val="00D35225"/>
    <w:rsid w:val="00D373E7"/>
    <w:rsid w:val="00D37A04"/>
    <w:rsid w:val="00D425B9"/>
    <w:rsid w:val="00D4350D"/>
    <w:rsid w:val="00D44BDA"/>
    <w:rsid w:val="00D45495"/>
    <w:rsid w:val="00D46596"/>
    <w:rsid w:val="00D47535"/>
    <w:rsid w:val="00D50287"/>
    <w:rsid w:val="00D51A07"/>
    <w:rsid w:val="00D535FE"/>
    <w:rsid w:val="00D54176"/>
    <w:rsid w:val="00D551E9"/>
    <w:rsid w:val="00D553C9"/>
    <w:rsid w:val="00D55949"/>
    <w:rsid w:val="00D56897"/>
    <w:rsid w:val="00D57815"/>
    <w:rsid w:val="00D608FB"/>
    <w:rsid w:val="00D644C4"/>
    <w:rsid w:val="00D66269"/>
    <w:rsid w:val="00D662BC"/>
    <w:rsid w:val="00D66911"/>
    <w:rsid w:val="00D67684"/>
    <w:rsid w:val="00D67DA1"/>
    <w:rsid w:val="00D70F71"/>
    <w:rsid w:val="00D7341D"/>
    <w:rsid w:val="00D73C24"/>
    <w:rsid w:val="00D73DFB"/>
    <w:rsid w:val="00D763D5"/>
    <w:rsid w:val="00D764EF"/>
    <w:rsid w:val="00D77D7B"/>
    <w:rsid w:val="00D80FB5"/>
    <w:rsid w:val="00D85379"/>
    <w:rsid w:val="00D85B7B"/>
    <w:rsid w:val="00D85EC4"/>
    <w:rsid w:val="00D877C6"/>
    <w:rsid w:val="00D9092D"/>
    <w:rsid w:val="00D918A8"/>
    <w:rsid w:val="00D92370"/>
    <w:rsid w:val="00D95A1A"/>
    <w:rsid w:val="00D95FDC"/>
    <w:rsid w:val="00DA1457"/>
    <w:rsid w:val="00DA16F3"/>
    <w:rsid w:val="00DA29D3"/>
    <w:rsid w:val="00DA3D48"/>
    <w:rsid w:val="00DA4E14"/>
    <w:rsid w:val="00DA5F45"/>
    <w:rsid w:val="00DB0EC1"/>
    <w:rsid w:val="00DB250F"/>
    <w:rsid w:val="00DB300E"/>
    <w:rsid w:val="00DB3D7A"/>
    <w:rsid w:val="00DC0551"/>
    <w:rsid w:val="00DC5341"/>
    <w:rsid w:val="00DC5D67"/>
    <w:rsid w:val="00DC7ACC"/>
    <w:rsid w:val="00DD327C"/>
    <w:rsid w:val="00DD3A49"/>
    <w:rsid w:val="00DD5D87"/>
    <w:rsid w:val="00DD5FC0"/>
    <w:rsid w:val="00DD6CB9"/>
    <w:rsid w:val="00DD7168"/>
    <w:rsid w:val="00DD7E65"/>
    <w:rsid w:val="00DE0C92"/>
    <w:rsid w:val="00DE1814"/>
    <w:rsid w:val="00DE4DD4"/>
    <w:rsid w:val="00DE4F1D"/>
    <w:rsid w:val="00DE7023"/>
    <w:rsid w:val="00DF2B3E"/>
    <w:rsid w:val="00DF3098"/>
    <w:rsid w:val="00DF3C01"/>
    <w:rsid w:val="00DF4332"/>
    <w:rsid w:val="00DF4B02"/>
    <w:rsid w:val="00DF4CBC"/>
    <w:rsid w:val="00DF60F5"/>
    <w:rsid w:val="00DF61B6"/>
    <w:rsid w:val="00DF6FA3"/>
    <w:rsid w:val="00DF76B1"/>
    <w:rsid w:val="00E004B7"/>
    <w:rsid w:val="00E00599"/>
    <w:rsid w:val="00E019F9"/>
    <w:rsid w:val="00E066EB"/>
    <w:rsid w:val="00E10B0A"/>
    <w:rsid w:val="00E11FF0"/>
    <w:rsid w:val="00E133FC"/>
    <w:rsid w:val="00E13492"/>
    <w:rsid w:val="00E17427"/>
    <w:rsid w:val="00E20922"/>
    <w:rsid w:val="00E220A3"/>
    <w:rsid w:val="00E25298"/>
    <w:rsid w:val="00E259C9"/>
    <w:rsid w:val="00E25B8C"/>
    <w:rsid w:val="00E2611A"/>
    <w:rsid w:val="00E303D7"/>
    <w:rsid w:val="00E30812"/>
    <w:rsid w:val="00E34DBD"/>
    <w:rsid w:val="00E36FA1"/>
    <w:rsid w:val="00E3745C"/>
    <w:rsid w:val="00E40167"/>
    <w:rsid w:val="00E42FB8"/>
    <w:rsid w:val="00E44C5C"/>
    <w:rsid w:val="00E451BA"/>
    <w:rsid w:val="00E50FC9"/>
    <w:rsid w:val="00E52429"/>
    <w:rsid w:val="00E55D62"/>
    <w:rsid w:val="00E5752C"/>
    <w:rsid w:val="00E57E39"/>
    <w:rsid w:val="00E614DF"/>
    <w:rsid w:val="00E6243A"/>
    <w:rsid w:val="00E63F0E"/>
    <w:rsid w:val="00E646A7"/>
    <w:rsid w:val="00E65CAD"/>
    <w:rsid w:val="00E669E9"/>
    <w:rsid w:val="00E70178"/>
    <w:rsid w:val="00E725FE"/>
    <w:rsid w:val="00E732C7"/>
    <w:rsid w:val="00E74222"/>
    <w:rsid w:val="00E75254"/>
    <w:rsid w:val="00E774D9"/>
    <w:rsid w:val="00E81D6D"/>
    <w:rsid w:val="00E82A67"/>
    <w:rsid w:val="00E8309B"/>
    <w:rsid w:val="00E834F8"/>
    <w:rsid w:val="00E84121"/>
    <w:rsid w:val="00E8738E"/>
    <w:rsid w:val="00E90B33"/>
    <w:rsid w:val="00E9128F"/>
    <w:rsid w:val="00E91918"/>
    <w:rsid w:val="00E927D5"/>
    <w:rsid w:val="00E93057"/>
    <w:rsid w:val="00E93916"/>
    <w:rsid w:val="00E94EA9"/>
    <w:rsid w:val="00E95D1E"/>
    <w:rsid w:val="00EA13A6"/>
    <w:rsid w:val="00EA2EC2"/>
    <w:rsid w:val="00EA56A3"/>
    <w:rsid w:val="00EA5A55"/>
    <w:rsid w:val="00EA60A0"/>
    <w:rsid w:val="00EA6492"/>
    <w:rsid w:val="00EA689B"/>
    <w:rsid w:val="00EB147B"/>
    <w:rsid w:val="00EB28B1"/>
    <w:rsid w:val="00EC247D"/>
    <w:rsid w:val="00EC269A"/>
    <w:rsid w:val="00EC3E03"/>
    <w:rsid w:val="00EC4F25"/>
    <w:rsid w:val="00EC5E17"/>
    <w:rsid w:val="00EC664F"/>
    <w:rsid w:val="00EC77FA"/>
    <w:rsid w:val="00ED0031"/>
    <w:rsid w:val="00ED1C9F"/>
    <w:rsid w:val="00ED2262"/>
    <w:rsid w:val="00ED2305"/>
    <w:rsid w:val="00ED290E"/>
    <w:rsid w:val="00ED415C"/>
    <w:rsid w:val="00ED4B9F"/>
    <w:rsid w:val="00ED5259"/>
    <w:rsid w:val="00ED5F8E"/>
    <w:rsid w:val="00EE1D06"/>
    <w:rsid w:val="00EE4549"/>
    <w:rsid w:val="00EE7410"/>
    <w:rsid w:val="00EF0B0A"/>
    <w:rsid w:val="00EF1EDE"/>
    <w:rsid w:val="00EF2A2E"/>
    <w:rsid w:val="00EF31DF"/>
    <w:rsid w:val="00EF5E86"/>
    <w:rsid w:val="00EF6310"/>
    <w:rsid w:val="00EF645E"/>
    <w:rsid w:val="00EF7969"/>
    <w:rsid w:val="00F00FE7"/>
    <w:rsid w:val="00F01B22"/>
    <w:rsid w:val="00F02BF9"/>
    <w:rsid w:val="00F0341A"/>
    <w:rsid w:val="00F046DF"/>
    <w:rsid w:val="00F0502A"/>
    <w:rsid w:val="00F11F18"/>
    <w:rsid w:val="00F128EE"/>
    <w:rsid w:val="00F13106"/>
    <w:rsid w:val="00F14F48"/>
    <w:rsid w:val="00F15944"/>
    <w:rsid w:val="00F23BCC"/>
    <w:rsid w:val="00F24109"/>
    <w:rsid w:val="00F252E6"/>
    <w:rsid w:val="00F25753"/>
    <w:rsid w:val="00F26093"/>
    <w:rsid w:val="00F263A8"/>
    <w:rsid w:val="00F27247"/>
    <w:rsid w:val="00F300DF"/>
    <w:rsid w:val="00F3465D"/>
    <w:rsid w:val="00F34A68"/>
    <w:rsid w:val="00F35557"/>
    <w:rsid w:val="00F37188"/>
    <w:rsid w:val="00F415D7"/>
    <w:rsid w:val="00F423B6"/>
    <w:rsid w:val="00F43D80"/>
    <w:rsid w:val="00F45E04"/>
    <w:rsid w:val="00F46672"/>
    <w:rsid w:val="00F50357"/>
    <w:rsid w:val="00F52A4A"/>
    <w:rsid w:val="00F52CB2"/>
    <w:rsid w:val="00F53AD3"/>
    <w:rsid w:val="00F5400E"/>
    <w:rsid w:val="00F56599"/>
    <w:rsid w:val="00F571D4"/>
    <w:rsid w:val="00F57526"/>
    <w:rsid w:val="00F5789D"/>
    <w:rsid w:val="00F579B5"/>
    <w:rsid w:val="00F626AF"/>
    <w:rsid w:val="00F62860"/>
    <w:rsid w:val="00F63FE4"/>
    <w:rsid w:val="00F65547"/>
    <w:rsid w:val="00F7052E"/>
    <w:rsid w:val="00F716C8"/>
    <w:rsid w:val="00F72E38"/>
    <w:rsid w:val="00F73107"/>
    <w:rsid w:val="00F7362A"/>
    <w:rsid w:val="00F7405E"/>
    <w:rsid w:val="00F7447B"/>
    <w:rsid w:val="00F7462C"/>
    <w:rsid w:val="00F75945"/>
    <w:rsid w:val="00F75DAD"/>
    <w:rsid w:val="00F81DEA"/>
    <w:rsid w:val="00F83A18"/>
    <w:rsid w:val="00F83B80"/>
    <w:rsid w:val="00F8563A"/>
    <w:rsid w:val="00F900D9"/>
    <w:rsid w:val="00F90B49"/>
    <w:rsid w:val="00F91947"/>
    <w:rsid w:val="00F91A48"/>
    <w:rsid w:val="00F91C51"/>
    <w:rsid w:val="00F92D99"/>
    <w:rsid w:val="00F93610"/>
    <w:rsid w:val="00F93870"/>
    <w:rsid w:val="00F93924"/>
    <w:rsid w:val="00F939F1"/>
    <w:rsid w:val="00F9496B"/>
    <w:rsid w:val="00F95E2F"/>
    <w:rsid w:val="00F97E37"/>
    <w:rsid w:val="00FA0620"/>
    <w:rsid w:val="00FA0696"/>
    <w:rsid w:val="00FA18E6"/>
    <w:rsid w:val="00FA2529"/>
    <w:rsid w:val="00FA39A3"/>
    <w:rsid w:val="00FB05DC"/>
    <w:rsid w:val="00FB07A0"/>
    <w:rsid w:val="00FB18B2"/>
    <w:rsid w:val="00FB5AA3"/>
    <w:rsid w:val="00FB6F8E"/>
    <w:rsid w:val="00FB7D07"/>
    <w:rsid w:val="00FC167C"/>
    <w:rsid w:val="00FC3DAC"/>
    <w:rsid w:val="00FC40BE"/>
    <w:rsid w:val="00FC57FD"/>
    <w:rsid w:val="00FC601C"/>
    <w:rsid w:val="00FC6F9D"/>
    <w:rsid w:val="00FD2DC1"/>
    <w:rsid w:val="00FD4DE4"/>
    <w:rsid w:val="00FD5108"/>
    <w:rsid w:val="00FD560E"/>
    <w:rsid w:val="00FD60A6"/>
    <w:rsid w:val="00FD7AC3"/>
    <w:rsid w:val="00FE04AB"/>
    <w:rsid w:val="00FE1B2B"/>
    <w:rsid w:val="00FE23B6"/>
    <w:rsid w:val="00FE2518"/>
    <w:rsid w:val="00FE2A6A"/>
    <w:rsid w:val="00FE2E3E"/>
    <w:rsid w:val="00FE2F6B"/>
    <w:rsid w:val="00FE4367"/>
    <w:rsid w:val="00FE5C06"/>
    <w:rsid w:val="00FE5FFC"/>
    <w:rsid w:val="00FE619C"/>
    <w:rsid w:val="00FE6209"/>
    <w:rsid w:val="00FE6A88"/>
    <w:rsid w:val="00FE7569"/>
    <w:rsid w:val="00FF03FB"/>
    <w:rsid w:val="00FF0713"/>
    <w:rsid w:val="00FF0CEC"/>
    <w:rsid w:val="00FF1046"/>
    <w:rsid w:val="00FF4D0E"/>
    <w:rsid w:val="00FF5CD2"/>
    <w:rsid w:val="00FF5E9E"/>
    <w:rsid w:val="03BC5C55"/>
    <w:rsid w:val="09A018D6"/>
    <w:rsid w:val="0BBD34B1"/>
    <w:rsid w:val="0E005C70"/>
    <w:rsid w:val="0EF94C88"/>
    <w:rsid w:val="11A15791"/>
    <w:rsid w:val="12D46272"/>
    <w:rsid w:val="138D7318"/>
    <w:rsid w:val="1412715C"/>
    <w:rsid w:val="14D71778"/>
    <w:rsid w:val="14E01227"/>
    <w:rsid w:val="16445EBE"/>
    <w:rsid w:val="19781B17"/>
    <w:rsid w:val="1A7D2EF0"/>
    <w:rsid w:val="1D4B2963"/>
    <w:rsid w:val="1DD745B1"/>
    <w:rsid w:val="20771F36"/>
    <w:rsid w:val="289A5396"/>
    <w:rsid w:val="2CA32EA6"/>
    <w:rsid w:val="2EE52E88"/>
    <w:rsid w:val="31447122"/>
    <w:rsid w:val="31634E89"/>
    <w:rsid w:val="319C41C9"/>
    <w:rsid w:val="33C46DBF"/>
    <w:rsid w:val="33DD2945"/>
    <w:rsid w:val="33FF5839"/>
    <w:rsid w:val="358160C2"/>
    <w:rsid w:val="36C21B1A"/>
    <w:rsid w:val="38F66FCB"/>
    <w:rsid w:val="39577622"/>
    <w:rsid w:val="399E063A"/>
    <w:rsid w:val="3F6C4F91"/>
    <w:rsid w:val="413C107C"/>
    <w:rsid w:val="426B7AF9"/>
    <w:rsid w:val="42713C89"/>
    <w:rsid w:val="434D6B42"/>
    <w:rsid w:val="486B4717"/>
    <w:rsid w:val="491C6288"/>
    <w:rsid w:val="4EFF2D19"/>
    <w:rsid w:val="4F107C51"/>
    <w:rsid w:val="4FE7DC04"/>
    <w:rsid w:val="51BF76E7"/>
    <w:rsid w:val="52739EBF"/>
    <w:rsid w:val="55190B61"/>
    <w:rsid w:val="55D803D7"/>
    <w:rsid w:val="56615788"/>
    <w:rsid w:val="57562BEE"/>
    <w:rsid w:val="57631530"/>
    <w:rsid w:val="596E6C57"/>
    <w:rsid w:val="5C4C72B3"/>
    <w:rsid w:val="5CCE1CD0"/>
    <w:rsid w:val="5D8945B4"/>
    <w:rsid w:val="5FDBBABF"/>
    <w:rsid w:val="60814057"/>
    <w:rsid w:val="61A61A55"/>
    <w:rsid w:val="63612086"/>
    <w:rsid w:val="66581C70"/>
    <w:rsid w:val="678B1282"/>
    <w:rsid w:val="6AA03474"/>
    <w:rsid w:val="6C647B70"/>
    <w:rsid w:val="6E103B09"/>
    <w:rsid w:val="6FB05360"/>
    <w:rsid w:val="712261A9"/>
    <w:rsid w:val="723B3EEF"/>
    <w:rsid w:val="7B635FAE"/>
    <w:rsid w:val="7B8A7479"/>
    <w:rsid w:val="7DFF47FD"/>
    <w:rsid w:val="7EFD2E38"/>
    <w:rsid w:val="7EFDBBF5"/>
    <w:rsid w:val="7FCE5278"/>
    <w:rsid w:val="7FF21ABD"/>
    <w:rsid w:val="7FFD23F8"/>
    <w:rsid w:val="BFDEBF68"/>
    <w:rsid w:val="D0FEA0F2"/>
    <w:rsid w:val="D6D7633D"/>
    <w:rsid w:val="DE75859B"/>
    <w:rsid w:val="E1FC95BC"/>
    <w:rsid w:val="E5B6234E"/>
    <w:rsid w:val="EAF9519C"/>
    <w:rsid w:val="EF4E4882"/>
    <w:rsid w:val="EF551557"/>
    <w:rsid w:val="F8BB4E5A"/>
    <w:rsid w:val="F97ECAD7"/>
    <w:rsid w:val="F99F4A86"/>
    <w:rsid w:val="FEBFDBD2"/>
    <w:rsid w:val="FF7A9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3">
    <w:name w:val="heading 1"/>
    <w:basedOn w:val="1"/>
    <w:next w:val="1"/>
    <w:link w:val="46"/>
    <w:qFormat/>
    <w:uiPriority w:val="99"/>
    <w:pPr>
      <w:keepNext/>
      <w:keepLines/>
      <w:spacing w:before="340" w:after="330" w:line="578" w:lineRule="auto"/>
      <w:outlineLvl w:val="0"/>
    </w:pPr>
    <w:rPr>
      <w:b/>
      <w:bCs/>
      <w:kern w:val="44"/>
      <w:sz w:val="44"/>
      <w:szCs w:val="44"/>
    </w:rPr>
  </w:style>
  <w:style w:type="paragraph" w:styleId="4">
    <w:name w:val="heading 2"/>
    <w:basedOn w:val="1"/>
    <w:next w:val="1"/>
    <w:link w:val="40"/>
    <w:qFormat/>
    <w:uiPriority w:val="0"/>
    <w:pPr>
      <w:spacing w:line="580" w:lineRule="exact"/>
      <w:ind w:firstLine="200" w:firstLineChars="200"/>
      <w:outlineLvl w:val="1"/>
    </w:pPr>
    <w:rPr>
      <w:rFonts w:ascii="方正楷体_GBK" w:hAnsi="Calibri" w:eastAsia="方正楷体_GBK"/>
      <w:szCs w:val="32"/>
    </w:rPr>
  </w:style>
  <w:style w:type="paragraph" w:styleId="5">
    <w:name w:val="heading 3"/>
    <w:basedOn w:val="1"/>
    <w:next w:val="1"/>
    <w:link w:val="60"/>
    <w:unhideWhenUsed/>
    <w:qFormat/>
    <w:uiPriority w:val="0"/>
    <w:pPr>
      <w:keepNext/>
      <w:keepLines/>
      <w:spacing w:before="260" w:after="260" w:line="416" w:lineRule="auto"/>
      <w:outlineLvl w:val="2"/>
    </w:pPr>
    <w:rPr>
      <w:b/>
      <w:bCs/>
      <w:szCs w:val="32"/>
    </w:rPr>
  </w:style>
  <w:style w:type="paragraph" w:styleId="6">
    <w:name w:val="heading 4"/>
    <w:basedOn w:val="1"/>
    <w:next w:val="1"/>
    <w:link w:val="43"/>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30"/>
    <w:unhideWhenUsed/>
    <w:qFormat/>
    <w:uiPriority w:val="0"/>
    <w:pPr>
      <w:spacing w:after="120"/>
    </w:pPr>
  </w:style>
  <w:style w:type="paragraph" w:styleId="7">
    <w:name w:val="table of authorities"/>
    <w:basedOn w:val="1"/>
    <w:next w:val="1"/>
    <w:unhideWhenUsed/>
    <w:qFormat/>
    <w:uiPriority w:val="0"/>
    <w:pPr>
      <w:ind w:left="420" w:leftChars="200"/>
    </w:pPr>
  </w:style>
  <w:style w:type="paragraph" w:styleId="8">
    <w:name w:val="Normal Indent"/>
    <w:basedOn w:val="1"/>
    <w:link w:val="66"/>
    <w:qFormat/>
    <w:uiPriority w:val="0"/>
    <w:pPr>
      <w:ind w:firstLine="420" w:firstLineChars="200"/>
    </w:pPr>
    <w:rPr>
      <w:rFonts w:asciiTheme="minorHAnsi" w:hAnsiTheme="minorHAnsi" w:eastAsiaTheme="minorEastAsia" w:cstheme="minorBidi"/>
      <w:kern w:val="0"/>
      <w:sz w:val="21"/>
      <w:szCs w:val="22"/>
    </w:rPr>
  </w:style>
  <w:style w:type="paragraph" w:styleId="9">
    <w:name w:val="index 5"/>
    <w:basedOn w:val="1"/>
    <w:next w:val="1"/>
    <w:qFormat/>
    <w:uiPriority w:val="0"/>
    <w:pPr>
      <w:ind w:left="1680"/>
    </w:pPr>
    <w:rPr>
      <w:rFonts w:eastAsia="宋体"/>
      <w:sz w:val="21"/>
      <w:szCs w:val="24"/>
    </w:rPr>
  </w:style>
  <w:style w:type="paragraph" w:styleId="10">
    <w:name w:val="annotation text"/>
    <w:basedOn w:val="1"/>
    <w:qFormat/>
    <w:uiPriority w:val="0"/>
  </w:style>
  <w:style w:type="paragraph" w:styleId="11">
    <w:name w:val="Body Text Indent"/>
    <w:basedOn w:val="1"/>
    <w:link w:val="59"/>
    <w:semiHidden/>
    <w:unhideWhenUsed/>
    <w:qFormat/>
    <w:uiPriority w:val="99"/>
    <w:pPr>
      <w:spacing w:after="120"/>
      <w:ind w:left="420" w:leftChars="200"/>
    </w:pPr>
  </w:style>
  <w:style w:type="paragraph" w:styleId="12">
    <w:name w:val="Plain Text"/>
    <w:basedOn w:val="1"/>
    <w:link w:val="67"/>
    <w:qFormat/>
    <w:uiPriority w:val="0"/>
    <w:rPr>
      <w:rFonts w:ascii="宋体" w:hAnsi="Calibri" w:eastAsia="宋体"/>
      <w:sz w:val="21"/>
      <w:szCs w:val="21"/>
    </w:rPr>
  </w:style>
  <w:style w:type="paragraph" w:styleId="13">
    <w:name w:val="Date"/>
    <w:basedOn w:val="1"/>
    <w:next w:val="1"/>
    <w:link w:val="36"/>
    <w:unhideWhenUsed/>
    <w:qFormat/>
    <w:uiPriority w:val="0"/>
    <w:pPr>
      <w:ind w:left="100" w:leftChars="2500"/>
    </w:pPr>
  </w:style>
  <w:style w:type="paragraph" w:styleId="14">
    <w:name w:val="Body Text Indent 2"/>
    <w:basedOn w:val="1"/>
    <w:link w:val="34"/>
    <w:semiHidden/>
    <w:unhideWhenUsed/>
    <w:qFormat/>
    <w:uiPriority w:val="99"/>
    <w:pPr>
      <w:spacing w:after="120" w:line="480" w:lineRule="auto"/>
      <w:ind w:left="420" w:leftChars="200"/>
    </w:pPr>
  </w:style>
  <w:style w:type="paragraph" w:styleId="15">
    <w:name w:val="Balloon Text"/>
    <w:basedOn w:val="1"/>
    <w:link w:val="32"/>
    <w:semiHidden/>
    <w:unhideWhenUsed/>
    <w:qFormat/>
    <w:uiPriority w:val="0"/>
    <w:rPr>
      <w:sz w:val="18"/>
      <w:szCs w:val="18"/>
    </w:rPr>
  </w:style>
  <w:style w:type="paragraph" w:styleId="16">
    <w:name w:val="footer"/>
    <w:basedOn w:val="1"/>
    <w:link w:val="27"/>
    <w:qFormat/>
    <w:uiPriority w:val="99"/>
    <w:pPr>
      <w:tabs>
        <w:tab w:val="center" w:pos="4153"/>
        <w:tab w:val="right" w:pos="8306"/>
      </w:tabs>
      <w:snapToGrid w:val="0"/>
      <w:jc w:val="left"/>
    </w:pPr>
    <w:rPr>
      <w:rFonts w:ascii="Times New Roman" w:hAnsi="Times New Roman" w:eastAsia="宋体"/>
      <w:sz w:val="28"/>
    </w:rPr>
  </w:style>
  <w:style w:type="paragraph" w:styleId="17">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Normal (Web)"/>
    <w:basedOn w:val="1"/>
    <w:qFormat/>
    <w:uiPriority w:val="0"/>
    <w:pPr>
      <w:widowControl/>
      <w:spacing w:before="100" w:beforeAutospacing="1" w:after="100" w:afterAutospacing="1"/>
      <w:jc w:val="left"/>
    </w:pPr>
    <w:rPr>
      <w:rFonts w:ascii="宋体" w:hAnsi="宋体" w:eastAsia="宋体"/>
      <w:kern w:val="0"/>
      <w:sz w:val="24"/>
      <w:szCs w:val="24"/>
    </w:rPr>
  </w:style>
  <w:style w:type="paragraph" w:styleId="19">
    <w:name w:val="Title"/>
    <w:basedOn w:val="1"/>
    <w:next w:val="1"/>
    <w:link w:val="44"/>
    <w:qFormat/>
    <w:uiPriority w:val="10"/>
    <w:pPr>
      <w:spacing w:before="240" w:after="60"/>
      <w:jc w:val="center"/>
      <w:outlineLvl w:val="0"/>
    </w:pPr>
    <w:rPr>
      <w:rFonts w:ascii="Cambria" w:hAnsi="Cambria" w:eastAsiaTheme="minorEastAsia"/>
      <w:b/>
      <w:bCs/>
      <w:szCs w:val="32"/>
    </w:rPr>
  </w:style>
  <w:style w:type="paragraph" w:styleId="20">
    <w:name w:val="Body Text First Indent"/>
    <w:basedOn w:val="2"/>
    <w:link w:val="51"/>
    <w:unhideWhenUsed/>
    <w:qFormat/>
    <w:uiPriority w:val="0"/>
    <w:pPr>
      <w:ind w:firstLine="420" w:firstLineChars="100"/>
    </w:pPr>
  </w:style>
  <w:style w:type="table" w:styleId="22">
    <w:name w:val="Table Grid"/>
    <w:basedOn w:val="21"/>
    <w:qFormat/>
    <w:uiPriority w:val="0"/>
    <w:rPr>
      <w:rFonts w:eastAsia="等线"/>
      <w:kern w:val="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22"/>
    <w:rPr>
      <w:b/>
      <w:bCs/>
    </w:rPr>
  </w:style>
  <w:style w:type="character" w:styleId="25">
    <w:name w:val="page number"/>
    <w:basedOn w:val="23"/>
    <w:qFormat/>
    <w:uiPriority w:val="0"/>
  </w:style>
  <w:style w:type="character" w:styleId="26">
    <w:name w:val="Hyperlink"/>
    <w:qFormat/>
    <w:uiPriority w:val="99"/>
    <w:rPr>
      <w:color w:val="0000FF"/>
      <w:u w:val="single"/>
    </w:rPr>
  </w:style>
  <w:style w:type="character" w:customStyle="1" w:styleId="27">
    <w:name w:val="页脚 Char"/>
    <w:link w:val="16"/>
    <w:qFormat/>
    <w:uiPriority w:val="99"/>
    <w:rPr>
      <w:rFonts w:ascii="Times New Roman" w:hAnsi="Times New Roman" w:eastAsia="宋体" w:cs="Times New Roman"/>
      <w:sz w:val="28"/>
      <w:szCs w:val="20"/>
    </w:rPr>
  </w:style>
  <w:style w:type="character" w:customStyle="1" w:styleId="28">
    <w:name w:val="页脚 Char1"/>
    <w:basedOn w:val="23"/>
    <w:semiHidden/>
    <w:qFormat/>
    <w:uiPriority w:val="99"/>
    <w:rPr>
      <w:rFonts w:ascii="Times New Roman" w:hAnsi="Times New Roman" w:eastAsia="方正仿宋_GBK" w:cs="Times New Roman"/>
      <w:sz w:val="18"/>
      <w:szCs w:val="18"/>
    </w:rPr>
  </w:style>
  <w:style w:type="paragraph" w:styleId="29">
    <w:name w:val="List Paragraph"/>
    <w:basedOn w:val="1"/>
    <w:qFormat/>
    <w:uiPriority w:val="99"/>
    <w:pPr>
      <w:ind w:firstLine="200" w:firstLineChars="200"/>
    </w:pPr>
    <w:rPr>
      <w:rFonts w:ascii="Calibri" w:hAnsi="Calibri" w:eastAsia="宋体"/>
      <w:sz w:val="21"/>
      <w:szCs w:val="22"/>
    </w:rPr>
  </w:style>
  <w:style w:type="character" w:customStyle="1" w:styleId="30">
    <w:name w:val="正文文本 Char"/>
    <w:basedOn w:val="23"/>
    <w:link w:val="2"/>
    <w:qFormat/>
    <w:uiPriority w:val="99"/>
    <w:rPr>
      <w:rFonts w:ascii="Times New Roman" w:hAnsi="Times New Roman" w:eastAsia="方正仿宋_GBK" w:cs="Times New Roman"/>
      <w:sz w:val="32"/>
      <w:szCs w:val="20"/>
    </w:rPr>
  </w:style>
  <w:style w:type="paragraph" w:customStyle="1" w:styleId="31">
    <w:name w:val="Default"/>
    <w:qFormat/>
    <w:uiPriority w:val="99"/>
    <w:pPr>
      <w:widowControl w:val="0"/>
      <w:autoSpaceDE w:val="0"/>
      <w:autoSpaceDN w:val="0"/>
      <w:adjustRightInd w:val="0"/>
    </w:pPr>
    <w:rPr>
      <w:rFonts w:ascii="方正黑体_GBK" w:hAnsi="Calibri" w:eastAsia="方正黑体_GBK" w:cs="方正黑体_GBK"/>
      <w:color w:val="000000"/>
      <w:sz w:val="24"/>
      <w:szCs w:val="24"/>
      <w:lang w:val="en-US" w:eastAsia="zh-CN" w:bidi="ar-SA"/>
    </w:rPr>
  </w:style>
  <w:style w:type="character" w:customStyle="1" w:styleId="32">
    <w:name w:val="批注框文本 Char"/>
    <w:basedOn w:val="23"/>
    <w:link w:val="15"/>
    <w:semiHidden/>
    <w:qFormat/>
    <w:uiPriority w:val="99"/>
    <w:rPr>
      <w:rFonts w:ascii="Times New Roman" w:hAnsi="Times New Roman" w:eastAsia="方正仿宋_GBK" w:cs="Times New Roman"/>
      <w:sz w:val="18"/>
      <w:szCs w:val="18"/>
    </w:rPr>
  </w:style>
  <w:style w:type="character" w:customStyle="1" w:styleId="33">
    <w:name w:val="页眉 Char"/>
    <w:basedOn w:val="23"/>
    <w:link w:val="17"/>
    <w:qFormat/>
    <w:uiPriority w:val="0"/>
    <w:rPr>
      <w:rFonts w:ascii="Times New Roman" w:hAnsi="Times New Roman" w:eastAsia="方正仿宋_GBK" w:cs="Times New Roman"/>
      <w:sz w:val="18"/>
      <w:szCs w:val="18"/>
    </w:rPr>
  </w:style>
  <w:style w:type="character" w:customStyle="1" w:styleId="34">
    <w:name w:val="正文文本缩进 2 Char"/>
    <w:basedOn w:val="23"/>
    <w:link w:val="14"/>
    <w:semiHidden/>
    <w:qFormat/>
    <w:uiPriority w:val="99"/>
    <w:rPr>
      <w:rFonts w:ascii="Times New Roman" w:hAnsi="Times New Roman" w:eastAsia="方正仿宋_GBK" w:cs="Times New Roman"/>
      <w:sz w:val="32"/>
      <w:szCs w:val="20"/>
    </w:rPr>
  </w:style>
  <w:style w:type="character" w:customStyle="1" w:styleId="35">
    <w:name w:val="NormalCharacter"/>
    <w:qFormat/>
    <w:uiPriority w:val="0"/>
    <w:rPr>
      <w:rFonts w:ascii="Calibri" w:hAnsi="Calibri" w:eastAsia="宋体" w:cs="Times New Roman"/>
      <w:kern w:val="2"/>
      <w:sz w:val="21"/>
      <w:szCs w:val="24"/>
      <w:lang w:val="en-US" w:eastAsia="zh-CN" w:bidi="ar-SA"/>
    </w:rPr>
  </w:style>
  <w:style w:type="character" w:customStyle="1" w:styleId="36">
    <w:name w:val="日期 Char"/>
    <w:basedOn w:val="23"/>
    <w:link w:val="13"/>
    <w:qFormat/>
    <w:uiPriority w:val="0"/>
    <w:rPr>
      <w:rFonts w:ascii="Times New Roman" w:hAnsi="Times New Roman" w:eastAsia="方正仿宋_GBK" w:cs="Times New Roman"/>
      <w:sz w:val="32"/>
      <w:szCs w:val="20"/>
    </w:rPr>
  </w:style>
  <w:style w:type="paragraph" w:customStyle="1" w:styleId="37">
    <w:name w:val="3 Char Char Char Char Char Char Char Char Char1 Char Char Char Char"/>
    <w:basedOn w:val="1"/>
    <w:qFormat/>
    <w:uiPriority w:val="0"/>
    <w:pPr>
      <w:snapToGrid w:val="0"/>
      <w:spacing w:line="360" w:lineRule="auto"/>
      <w:ind w:firstLine="200" w:firstLineChars="200"/>
    </w:pPr>
    <w:rPr>
      <w:rFonts w:eastAsia="仿宋_GB2312"/>
      <w:sz w:val="24"/>
      <w:szCs w:val="24"/>
    </w:rPr>
  </w:style>
  <w:style w:type="character" w:customStyle="1" w:styleId="38">
    <w:name w:val="fontstyle01"/>
    <w:basedOn w:val="23"/>
    <w:qFormat/>
    <w:uiPriority w:val="0"/>
    <w:rPr>
      <w:rFonts w:hint="eastAsia" w:ascii="方正仿宋_GBK" w:eastAsia="方正仿宋_GBK"/>
      <w:color w:val="000000"/>
      <w:sz w:val="32"/>
      <w:szCs w:val="32"/>
    </w:rPr>
  </w:style>
  <w:style w:type="paragraph" w:customStyle="1" w:styleId="39">
    <w:name w:val="p0"/>
    <w:basedOn w:val="1"/>
    <w:link w:val="4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40">
    <w:name w:val="标题 2 Char"/>
    <w:basedOn w:val="23"/>
    <w:link w:val="4"/>
    <w:qFormat/>
    <w:uiPriority w:val="0"/>
    <w:rPr>
      <w:rFonts w:ascii="方正楷体_GBK" w:hAnsi="Calibri" w:eastAsia="方正楷体_GBK" w:cs="Times New Roman"/>
      <w:sz w:val="32"/>
      <w:szCs w:val="32"/>
    </w:rPr>
  </w:style>
  <w:style w:type="character" w:customStyle="1" w:styleId="41">
    <w:name w:val="p0 Char Char"/>
    <w:link w:val="39"/>
    <w:qFormat/>
    <w:locked/>
    <w:uiPriority w:val="0"/>
    <w:rPr>
      <w:rFonts w:ascii="宋体" w:hAnsi="宋体" w:eastAsia="宋体" w:cs="宋体"/>
      <w:kern w:val="0"/>
      <w:sz w:val="24"/>
      <w:szCs w:val="24"/>
    </w:rPr>
  </w:style>
  <w:style w:type="paragraph" w:customStyle="1" w:styleId="42">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43">
    <w:name w:val="标题 4 Char"/>
    <w:basedOn w:val="23"/>
    <w:link w:val="6"/>
    <w:semiHidden/>
    <w:qFormat/>
    <w:uiPriority w:val="0"/>
    <w:rPr>
      <w:rFonts w:asciiTheme="majorHAnsi" w:hAnsiTheme="majorHAnsi" w:eastAsiaTheme="majorEastAsia" w:cstheme="majorBidi"/>
      <w:b/>
      <w:bCs/>
      <w:sz w:val="28"/>
      <w:szCs w:val="28"/>
    </w:rPr>
  </w:style>
  <w:style w:type="character" w:customStyle="1" w:styleId="44">
    <w:name w:val="标题 Char"/>
    <w:basedOn w:val="23"/>
    <w:link w:val="19"/>
    <w:qFormat/>
    <w:uiPriority w:val="10"/>
    <w:rPr>
      <w:rFonts w:ascii="Cambria" w:hAnsi="Cambria" w:cs="Times New Roman"/>
      <w:b/>
      <w:bCs/>
      <w:sz w:val="32"/>
      <w:szCs w:val="32"/>
    </w:rPr>
  </w:style>
  <w:style w:type="character" w:customStyle="1" w:styleId="45">
    <w:name w:val="标题 Char1"/>
    <w:basedOn w:val="23"/>
    <w:qFormat/>
    <w:uiPriority w:val="10"/>
    <w:rPr>
      <w:rFonts w:eastAsia="宋体" w:asciiTheme="majorHAnsi" w:hAnsiTheme="majorHAnsi" w:cstheme="majorBidi"/>
      <w:b/>
      <w:bCs/>
      <w:sz w:val="32"/>
      <w:szCs w:val="32"/>
    </w:rPr>
  </w:style>
  <w:style w:type="character" w:customStyle="1" w:styleId="46">
    <w:name w:val="标题 1 Char"/>
    <w:basedOn w:val="23"/>
    <w:link w:val="3"/>
    <w:qFormat/>
    <w:uiPriority w:val="99"/>
    <w:rPr>
      <w:rFonts w:ascii="Times New Roman" w:hAnsi="Times New Roman" w:eastAsia="方正仿宋_GBK" w:cs="Times New Roman"/>
      <w:b/>
      <w:bCs/>
      <w:kern w:val="44"/>
      <w:sz w:val="44"/>
      <w:szCs w:val="44"/>
    </w:rPr>
  </w:style>
  <w:style w:type="character" w:customStyle="1" w:styleId="47">
    <w:name w:val="页脚 字符"/>
    <w:qFormat/>
    <w:uiPriority w:val="0"/>
    <w:rPr>
      <w:rFonts w:eastAsia="方正仿宋_GBK"/>
      <w:kern w:val="2"/>
      <w:sz w:val="18"/>
      <w:lang w:val="en-US" w:eastAsia="zh-CN" w:bidi="ar-SA"/>
    </w:rPr>
  </w:style>
  <w:style w:type="paragraph" w:customStyle="1" w:styleId="48">
    <w:name w:val="_Style 4"/>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49">
    <w:name w:val="p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50">
    <w:name w:val="列表段落1"/>
    <w:basedOn w:val="1"/>
    <w:qFormat/>
    <w:uiPriority w:val="34"/>
    <w:pPr>
      <w:ind w:firstLine="420" w:firstLineChars="200"/>
    </w:pPr>
    <w:rPr>
      <w:rFonts w:ascii="Calibri" w:hAnsi="Calibri" w:eastAsia="宋体" w:cs="黑体"/>
      <w:sz w:val="21"/>
      <w:szCs w:val="22"/>
    </w:rPr>
  </w:style>
  <w:style w:type="character" w:customStyle="1" w:styleId="51">
    <w:name w:val="正文首行缩进 Char"/>
    <w:basedOn w:val="30"/>
    <w:link w:val="20"/>
    <w:qFormat/>
    <w:uiPriority w:val="0"/>
    <w:rPr>
      <w:rFonts w:ascii="Times New Roman" w:hAnsi="Times New Roman" w:eastAsia="方正仿宋_GBK" w:cs="Times New Roman"/>
      <w:sz w:val="32"/>
      <w:szCs w:val="20"/>
    </w:rPr>
  </w:style>
  <w:style w:type="paragraph" w:customStyle="1" w:styleId="52">
    <w:name w:val="默认段落字体 Para Char Char Char Char Char Char Char"/>
    <w:basedOn w:val="1"/>
    <w:qFormat/>
    <w:uiPriority w:val="0"/>
    <w:rPr>
      <w:rFonts w:ascii="Arial" w:hAnsi="Arial" w:eastAsia="宋体" w:cs="Arial"/>
      <w:sz w:val="20"/>
    </w:rPr>
  </w:style>
  <w:style w:type="paragraph" w:customStyle="1" w:styleId="53">
    <w:name w:val="Normal_10"/>
    <w:qFormat/>
    <w:uiPriority w:val="0"/>
    <w:pPr>
      <w:spacing w:before="120" w:after="240"/>
      <w:jc w:val="both"/>
    </w:pPr>
    <w:rPr>
      <w:rFonts w:ascii="Times New Roman" w:hAnsi="Times New Roman" w:eastAsia="宋体" w:cs="Times New Roman"/>
      <w:sz w:val="22"/>
      <w:szCs w:val="22"/>
      <w:lang w:val="en-US" w:eastAsia="en-US" w:bidi="ar-SA"/>
    </w:rPr>
  </w:style>
  <w:style w:type="paragraph" w:customStyle="1" w:styleId="54">
    <w:name w:val="Normal_3"/>
    <w:qFormat/>
    <w:uiPriority w:val="0"/>
    <w:pPr>
      <w:spacing w:before="120" w:after="240"/>
      <w:jc w:val="both"/>
    </w:pPr>
    <w:rPr>
      <w:rFonts w:ascii="Times New Roman" w:hAnsi="Times New Roman" w:eastAsia="宋体" w:cs="Times New Roman"/>
      <w:sz w:val="22"/>
      <w:szCs w:val="22"/>
      <w:lang w:val="en-US" w:eastAsia="en-US" w:bidi="ar-SA"/>
    </w:rPr>
  </w:style>
  <w:style w:type="paragraph" w:customStyle="1" w:styleId="55">
    <w:name w:val="列出段落1"/>
    <w:basedOn w:val="1"/>
    <w:qFormat/>
    <w:uiPriority w:val="0"/>
    <w:pPr>
      <w:ind w:firstLine="420" w:firstLineChars="200"/>
    </w:pPr>
    <w:rPr>
      <w:rFonts w:ascii="Calibri" w:hAnsi="Calibri" w:eastAsia="宋体"/>
      <w:sz w:val="21"/>
      <w:szCs w:val="22"/>
    </w:rPr>
  </w:style>
  <w:style w:type="paragraph" w:customStyle="1" w:styleId="56">
    <w:name w:val="文本正文"/>
    <w:basedOn w:val="1"/>
    <w:link w:val="57"/>
    <w:qFormat/>
    <w:uiPriority w:val="0"/>
    <w:pPr>
      <w:adjustRightInd w:val="0"/>
      <w:snapToGrid w:val="0"/>
      <w:spacing w:line="600" w:lineRule="exact"/>
      <w:ind w:firstLine="640" w:firstLineChars="200"/>
    </w:pPr>
    <w:rPr>
      <w:rFonts w:ascii="仿宋_GB2312" w:eastAsia="仿宋_GB2312"/>
      <w:szCs w:val="32"/>
    </w:rPr>
  </w:style>
  <w:style w:type="character" w:customStyle="1" w:styleId="57">
    <w:name w:val="文本正文 Char"/>
    <w:basedOn w:val="23"/>
    <w:link w:val="56"/>
    <w:qFormat/>
    <w:uiPriority w:val="0"/>
    <w:rPr>
      <w:rFonts w:ascii="仿宋_GB2312" w:hAnsi="Times New Roman" w:eastAsia="仿宋_GB2312" w:cs="Times New Roman"/>
      <w:sz w:val="32"/>
      <w:szCs w:val="32"/>
    </w:rPr>
  </w:style>
  <w:style w:type="paragraph" w:customStyle="1" w:styleId="58">
    <w:name w:val="BodyTextIndent"/>
    <w:qFormat/>
    <w:uiPriority w:val="0"/>
    <w:pPr>
      <w:widowControl w:val="0"/>
      <w:spacing w:after="120"/>
      <w:ind w:left="420" w:leftChars="200"/>
      <w:jc w:val="both"/>
    </w:pPr>
    <w:rPr>
      <w:rFonts w:ascii="Calibri" w:hAnsi="Calibri" w:eastAsia="仿宋_GB2312" w:cs="Times New Roman"/>
      <w:color w:val="000000"/>
      <w:kern w:val="2"/>
      <w:sz w:val="32"/>
      <w:szCs w:val="32"/>
      <w:lang w:val="en-US" w:eastAsia="zh-CN" w:bidi="ar-SA"/>
    </w:rPr>
  </w:style>
  <w:style w:type="character" w:customStyle="1" w:styleId="59">
    <w:name w:val="正文文本缩进 Char"/>
    <w:basedOn w:val="23"/>
    <w:link w:val="11"/>
    <w:semiHidden/>
    <w:qFormat/>
    <w:uiPriority w:val="99"/>
    <w:rPr>
      <w:rFonts w:ascii="Times New Roman" w:hAnsi="Times New Roman" w:eastAsia="方正仿宋_GBK" w:cs="Times New Roman"/>
      <w:sz w:val="32"/>
      <w:szCs w:val="20"/>
    </w:rPr>
  </w:style>
  <w:style w:type="character" w:customStyle="1" w:styleId="60">
    <w:name w:val="标题 3 Char"/>
    <w:basedOn w:val="23"/>
    <w:link w:val="5"/>
    <w:qFormat/>
    <w:uiPriority w:val="0"/>
    <w:rPr>
      <w:rFonts w:ascii="Times New Roman" w:hAnsi="Times New Roman" w:eastAsia="方正仿宋_GBK" w:cs="Times New Roman"/>
      <w:b/>
      <w:bCs/>
      <w:sz w:val="32"/>
      <w:szCs w:val="32"/>
    </w:rPr>
  </w:style>
  <w:style w:type="character" w:customStyle="1" w:styleId="61">
    <w:name w:val="15"/>
    <w:basedOn w:val="23"/>
    <w:qFormat/>
    <w:uiPriority w:val="0"/>
    <w:rPr>
      <w:rFonts w:hint="default" w:ascii="Calibri" w:hAnsi="Calibri"/>
    </w:rPr>
  </w:style>
  <w:style w:type="paragraph" w:customStyle="1" w:styleId="62">
    <w:name w:val="Body text|1"/>
    <w:basedOn w:val="1"/>
    <w:qFormat/>
    <w:uiPriority w:val="0"/>
    <w:pPr>
      <w:autoSpaceDE w:val="0"/>
      <w:autoSpaceDN w:val="0"/>
      <w:spacing w:line="425" w:lineRule="auto"/>
      <w:ind w:firstLine="400"/>
      <w:jc w:val="left"/>
    </w:pPr>
    <w:rPr>
      <w:rFonts w:ascii="宋体" w:hAnsi="宋体" w:eastAsia="宋体" w:cs="宋体"/>
      <w:kern w:val="0"/>
      <w:szCs w:val="22"/>
      <w:lang w:val="zh-TW" w:eastAsia="zh-TW" w:bidi="zh-TW"/>
    </w:rPr>
  </w:style>
  <w:style w:type="paragraph" w:customStyle="1" w:styleId="63">
    <w:name w:val="M1级标题"/>
    <w:basedOn w:val="1"/>
    <w:next w:val="1"/>
    <w:qFormat/>
    <w:uiPriority w:val="0"/>
    <w:pPr>
      <w:spacing w:before="120" w:after="120"/>
      <w:jc w:val="center"/>
    </w:pPr>
    <w:rPr>
      <w:rFonts w:ascii="华文中宋" w:hAnsi="华文中宋" w:eastAsia="方正小标宋_GBK"/>
      <w:sz w:val="44"/>
      <w:szCs w:val="24"/>
    </w:rPr>
  </w:style>
  <w:style w:type="paragraph" w:customStyle="1" w:styleId="64">
    <w:name w:val="M正文"/>
    <w:qFormat/>
    <w:uiPriority w:val="0"/>
    <w:pPr>
      <w:spacing w:line="590" w:lineRule="atLeast"/>
      <w:ind w:firstLine="640" w:firstLineChars="200"/>
      <w:jc w:val="both"/>
    </w:pPr>
    <w:rPr>
      <w:rFonts w:ascii="方正楷体_GBK" w:hAnsi="楷体" w:eastAsia="方正仿宋_GBK" w:cs="Times New Roman"/>
      <w:kern w:val="2"/>
      <w:sz w:val="32"/>
      <w:szCs w:val="24"/>
      <w:lang w:val="en-US" w:eastAsia="zh-CN" w:bidi="ar-SA"/>
    </w:rPr>
  </w:style>
  <w:style w:type="paragraph" w:customStyle="1" w:styleId="65">
    <w:name w:val="M3级标题"/>
    <w:basedOn w:val="1"/>
    <w:next w:val="64"/>
    <w:qFormat/>
    <w:uiPriority w:val="0"/>
    <w:pPr>
      <w:spacing w:line="590" w:lineRule="atLeast"/>
    </w:pPr>
    <w:rPr>
      <w:rFonts w:ascii="方正楷体_GBK" w:hAnsi="华文中宋" w:eastAsia="方正楷体_GBK"/>
      <w:szCs w:val="24"/>
    </w:rPr>
  </w:style>
  <w:style w:type="character" w:customStyle="1" w:styleId="66">
    <w:name w:val="正文缩进 Char"/>
    <w:link w:val="8"/>
    <w:qFormat/>
    <w:uiPriority w:val="0"/>
    <w:rPr>
      <w:rFonts w:asciiTheme="minorHAnsi" w:hAnsiTheme="minorHAnsi" w:eastAsiaTheme="minorEastAsia" w:cstheme="minorBidi"/>
      <w:sz w:val="21"/>
      <w:szCs w:val="22"/>
    </w:rPr>
  </w:style>
  <w:style w:type="character" w:customStyle="1" w:styleId="67">
    <w:name w:val="纯文本 Char"/>
    <w:basedOn w:val="23"/>
    <w:link w:val="12"/>
    <w:qFormat/>
    <w:uiPriority w:val="0"/>
    <w:rPr>
      <w:rFonts w:ascii="宋体" w:cs="Times New Roman"/>
      <w:kern w:val="2"/>
      <w:sz w:val="21"/>
      <w:szCs w:val="21"/>
    </w:rPr>
  </w:style>
  <w:style w:type="character" w:customStyle="1" w:styleId="68">
    <w:name w:val="font21"/>
    <w:qFormat/>
    <w:uiPriority w:val="0"/>
    <w:rPr>
      <w:rFonts w:hint="eastAsia" w:ascii="宋体" w:hAnsi="宋体" w:eastAsia="宋体" w:cs="宋体"/>
      <w:color w:val="000000"/>
      <w:sz w:val="24"/>
      <w:szCs w:val="24"/>
      <w:u w:val="none"/>
    </w:rPr>
  </w:style>
  <w:style w:type="paragraph" w:customStyle="1" w:styleId="69">
    <w:name w:val="报告正文"/>
    <w:basedOn w:val="20"/>
    <w:qFormat/>
    <w:uiPriority w:val="0"/>
    <w:pPr>
      <w:spacing w:after="0" w:line="360" w:lineRule="auto"/>
      <w:ind w:firstLine="480" w:firstLineChars="200"/>
      <w:jc w:val="center"/>
    </w:pPr>
    <w:rPr>
      <w:rFonts w:ascii="宋体" w:hAnsi="宋体" w:eastAsia="黑体"/>
      <w:sz w:val="24"/>
      <w:szCs w:val="24"/>
    </w:rPr>
  </w:style>
  <w:style w:type="paragraph" w:customStyle="1" w:styleId="70">
    <w:name w:val="正文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UserStyle_5"/>
    <w:basedOn w:val="1"/>
    <w:qFormat/>
    <w:uiPriority w:val="0"/>
    <w:pPr>
      <w:widowControl/>
    </w:pPr>
    <w:rPr>
      <w:rFonts w:eastAsia="仿宋_GB2312"/>
      <w:szCs w:val="32"/>
    </w:rPr>
  </w:style>
  <w:style w:type="paragraph" w:customStyle="1" w:styleId="72">
    <w:name w:val="GS"/>
    <w:basedOn w:val="1"/>
    <w:qFormat/>
    <w:uiPriority w:val="0"/>
    <w:pPr>
      <w:widowControl/>
      <w:adjustRightInd w:val="0"/>
      <w:snapToGrid w:val="0"/>
      <w:spacing w:line="540" w:lineRule="exact"/>
      <w:ind w:firstLine="640"/>
    </w:pPr>
    <w:rPr>
      <w:color w:val="000000"/>
      <w:kern w:val="0"/>
      <w:szCs w:val="32"/>
    </w:rPr>
  </w:style>
  <w:style w:type="paragraph" w:customStyle="1" w:styleId="73">
    <w:name w:val="CM1"/>
    <w:basedOn w:val="1"/>
    <w:next w:val="1"/>
    <w:qFormat/>
    <w:uiPriority w:val="0"/>
    <w:pPr>
      <w:autoSpaceDE w:val="0"/>
      <w:autoSpaceDN w:val="0"/>
      <w:adjustRightInd w:val="0"/>
      <w:spacing w:line="600" w:lineRule="atLeast"/>
      <w:jc w:val="left"/>
    </w:pPr>
    <w:rPr>
      <w:rFonts w:hint="eastAsia" w:ascii="方正仿宋_GBK" w:hAnsi="方正仿宋_GBK"/>
      <w:color w:val="000000"/>
      <w:kern w:val="0"/>
      <w:sz w:val="24"/>
    </w:rPr>
  </w:style>
  <w:style w:type="paragraph" w:customStyle="1" w:styleId="74">
    <w:name w:val="p17"/>
    <w:basedOn w:val="1"/>
    <w:qFormat/>
    <w:uiPriority w:val="0"/>
    <w:pPr>
      <w:widowControl/>
      <w:snapToGrid w:val="0"/>
      <w:jc w:val="left"/>
    </w:pPr>
    <w:rPr>
      <w:rFonts w:eastAsia="宋体"/>
      <w:color w:val="000000"/>
      <w:kern w:val="0"/>
      <w:sz w:val="24"/>
      <w:szCs w:val="24"/>
    </w:rPr>
  </w:style>
  <w:style w:type="paragraph" w:customStyle="1" w:styleId="75">
    <w:name w:val="msolistparagraph"/>
    <w:basedOn w:val="1"/>
    <w:qFormat/>
    <w:uiPriority w:val="0"/>
    <w:pPr>
      <w:ind w:firstLine="420" w:firstLineChars="200"/>
    </w:pPr>
    <w:rPr>
      <w:rFonts w:ascii="Calibri" w:hAnsi="Calibri" w:eastAsia="宋体"/>
      <w:sz w:val="21"/>
      <w:szCs w:val="22"/>
    </w:rPr>
  </w:style>
  <w:style w:type="paragraph" w:customStyle="1" w:styleId="76">
    <w:name w:val="标题1"/>
    <w:basedOn w:val="1"/>
    <w:next w:val="1"/>
    <w:qFormat/>
    <w:uiPriority w:val="0"/>
    <w:pPr>
      <w:tabs>
        <w:tab w:val="left" w:pos="9193"/>
        <w:tab w:val="left" w:pos="9827"/>
      </w:tabs>
      <w:autoSpaceDE w:val="0"/>
      <w:autoSpaceDN w:val="0"/>
      <w:snapToGrid w:val="0"/>
      <w:spacing w:before="156" w:beforeLines="50" w:after="156" w:afterLines="50" w:line="640" w:lineRule="exact"/>
      <w:jc w:val="center"/>
    </w:pPr>
    <w:rPr>
      <w:rFonts w:eastAsia="方正小标宋_GBK"/>
      <w:snapToGrid w:val="0"/>
      <w:kern w:val="0"/>
      <w:sz w:val="44"/>
    </w:rPr>
  </w:style>
  <w:style w:type="paragraph" w:customStyle="1" w:styleId="77">
    <w:name w:val="UserStyle_0"/>
    <w:qFormat/>
    <w:uiPriority w:val="0"/>
    <w:pPr>
      <w:textAlignment w:val="baseline"/>
    </w:pPr>
    <w:rPr>
      <w:rFonts w:ascii="仿宋_GB2312" w:hAnsi="Times New Roman" w:eastAsia="仿宋_GB2312"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6092</Words>
  <Characters>6490</Characters>
  <Lines>99</Lines>
  <Paragraphs>28</Paragraphs>
  <TotalTime>6</TotalTime>
  <ScaleCrop>false</ScaleCrop>
  <LinksUpToDate>false</LinksUpToDate>
  <CharactersWithSpaces>6499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2025-06-03T22:56:00Z</dcterms:created>
  <dc:creator>曾海琼</dc:creator>
  <cp:lastModifiedBy>！</cp:lastModifiedBy>
  <cp:lastPrinted>2025-09-25T00:45:00Z</cp:lastPrinted>
  <dcterms:modified xsi:type="dcterms:W3CDTF">2025-10-10T06:27:47Z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eyJoZGlkIjoiMDBkNzVkNTQ2ZDBmNDgzNmVlYTU5MDkxZmUwYjcyYTIiLCJ1c2VySWQiOiIyODUwOTIyNjcifQ==</vt:lpwstr>
  </property>
  <property fmtid="{D5CDD505-2E9C-101B-9397-08002B2CF9AE}" pid="4" name="ICV">
    <vt:lpwstr>DD5837BECB4C19D5E731C968FD3037B4</vt:lpwstr>
  </property>
</Properties>
</file>