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exact"/>
        <w:jc w:val="center"/>
        <w:rPr>
          <w:rFonts w:ascii="方正小标宋_GBK" w:hAnsi="方正小标宋_GBK" w:eastAsia="方正小标宋_GBK" w:cs="方正小标宋_GBK"/>
          <w:color w:val="252525" w:themeColor="text1" w:themeTint="D9"/>
          <w:sz w:val="28"/>
          <w:szCs w:val="28"/>
        </w:rPr>
      </w:pPr>
      <w:bookmarkStart w:id="0" w:name="_GoBack"/>
      <w:bookmarkEnd w:id="0"/>
      <w:r>
        <w:rPr>
          <w:rFonts w:hint="eastAsia" w:ascii="方正小标宋_GBK" w:hAnsi="方正小标宋_GBK" w:eastAsia="方正小标宋_GBK" w:cs="方正小标宋_GBK"/>
          <w:color w:val="252525" w:themeColor="text1" w:themeTint="D9"/>
          <w:sz w:val="28"/>
          <w:szCs w:val="28"/>
        </w:rPr>
        <w:t>南川区东城街道大铺子居委三组水泥配料用页岩矿采矿权拍卖出让文件</w:t>
      </w:r>
    </w:p>
    <w:p>
      <w:pPr>
        <w:spacing w:line="360" w:lineRule="exact"/>
        <w:jc w:val="right"/>
        <w:rPr>
          <w:rFonts w:ascii="方正仿宋_GBK" w:hAnsi="方正仿宋_GBK" w:eastAsia="方正仿宋_GBK" w:cs="方正仿宋_GBK"/>
          <w:b/>
          <w:bCs/>
          <w:color w:val="252525" w:themeColor="text1" w:themeTint="D9"/>
          <w:szCs w:val="21"/>
        </w:rPr>
      </w:pPr>
    </w:p>
    <w:p>
      <w:pPr>
        <w:spacing w:line="360" w:lineRule="exact"/>
        <w:jc w:val="right"/>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公告序号：NCGC202501</w:t>
      </w:r>
    </w:p>
    <w:p>
      <w:pPr>
        <w:spacing w:line="360" w:lineRule="exact"/>
        <w:ind w:firstLine="428" w:firstLineChars="204"/>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为合理开发利用矿产资源，维护矿产资源的国家所有权，建立规范、开放、竞争、有序的矿业权市场，根据《矿业权出让交易规则》（自然资规〔2023〕1号）有关规定，</w:t>
      </w:r>
      <w:r>
        <w:rPr>
          <w:rFonts w:hint="eastAsia" w:ascii="Times New Roman" w:hAnsi="Times New Roman" w:eastAsia="方正仿宋_GBK" w:cs="Times New Roman"/>
          <w:color w:val="252525" w:themeColor="text1" w:themeTint="D9"/>
          <w:szCs w:val="21"/>
        </w:rPr>
        <w:t>重庆市</w:t>
      </w:r>
      <w:r>
        <w:rPr>
          <w:rFonts w:ascii="Times New Roman" w:hAnsi="Times New Roman" w:eastAsia="方正仿宋_GBK" w:cs="Times New Roman"/>
          <w:color w:val="252525" w:themeColor="text1" w:themeTint="D9"/>
          <w:szCs w:val="21"/>
        </w:rPr>
        <w:t>南川区规划和自然资源局决定公开拍卖出让以下采矿权，并委托重庆市公共资源交易中心负责公开出让交易环节的组织实施，本次公开出让的采矿权采用网上交易方式。</w:t>
      </w:r>
    </w:p>
    <w:p>
      <w:pPr>
        <w:spacing w:line="360" w:lineRule="exact"/>
        <w:ind w:firstLine="420" w:firstLineChars="200"/>
        <w:rPr>
          <w:rFonts w:ascii="方正黑体_GBK" w:hAnsi="Times New Roman" w:eastAsia="方正黑体_GBK" w:cs="Times New Roman"/>
          <w:color w:val="252525" w:themeColor="text1" w:themeTint="D9"/>
          <w:kern w:val="0"/>
          <w:szCs w:val="21"/>
        </w:rPr>
      </w:pPr>
      <w:r>
        <w:rPr>
          <w:rFonts w:hint="eastAsia" w:ascii="方正黑体_GBK" w:hAnsi="Times New Roman" w:eastAsia="方正黑体_GBK" w:cs="Times New Roman"/>
          <w:color w:val="252525" w:themeColor="text1" w:themeTint="D9"/>
          <w:kern w:val="0"/>
          <w:szCs w:val="21"/>
        </w:rPr>
        <w:t>一、出让采矿权基本情况</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（一）公告时间：202</w:t>
      </w:r>
      <w:r>
        <w:rPr>
          <w:rFonts w:hint="eastAsia" w:ascii="Times New Roman" w:hAnsi="Times New Roman" w:eastAsia="方正仿宋_GBK" w:cs="Times New Roman"/>
          <w:color w:val="252525" w:themeColor="text1" w:themeTint="D9"/>
          <w:szCs w:val="21"/>
        </w:rPr>
        <w:t>5</w:t>
      </w:r>
      <w:r>
        <w:rPr>
          <w:rFonts w:ascii="Times New Roman" w:hAnsi="Times New Roman" w:eastAsia="方正仿宋_GBK" w:cs="Times New Roman"/>
          <w:color w:val="252525" w:themeColor="text1" w:themeTint="D9"/>
          <w:szCs w:val="21"/>
        </w:rPr>
        <w:t>年</w:t>
      </w:r>
      <w:r>
        <w:rPr>
          <w:rFonts w:hint="eastAsia" w:ascii="Times New Roman" w:hAnsi="Times New Roman" w:eastAsia="方正仿宋_GBK" w:cs="Times New Roman"/>
          <w:color w:val="252525" w:themeColor="text1" w:themeTint="D9"/>
          <w:szCs w:val="21"/>
        </w:rPr>
        <w:t>3</w:t>
      </w:r>
      <w:r>
        <w:rPr>
          <w:rFonts w:ascii="Times New Roman" w:hAnsi="Times New Roman" w:eastAsia="方正仿宋_GBK" w:cs="Times New Roman"/>
          <w:color w:val="252525" w:themeColor="text1" w:themeTint="D9"/>
          <w:szCs w:val="21"/>
        </w:rPr>
        <w:t>月</w:t>
      </w:r>
      <w:r>
        <w:rPr>
          <w:rFonts w:hint="eastAsia" w:ascii="Times New Roman" w:hAnsi="Times New Roman" w:eastAsia="方正仿宋_GBK" w:cs="Times New Roman"/>
          <w:color w:val="252525" w:themeColor="text1" w:themeTint="D9"/>
          <w:szCs w:val="21"/>
        </w:rPr>
        <w:t>14</w:t>
      </w:r>
      <w:r>
        <w:rPr>
          <w:rFonts w:ascii="Times New Roman" w:hAnsi="Times New Roman" w:eastAsia="方正仿宋_GBK" w:cs="Times New Roman"/>
          <w:color w:val="252525" w:themeColor="text1" w:themeTint="D9"/>
          <w:szCs w:val="21"/>
        </w:rPr>
        <w:t>日-2025年</w:t>
      </w:r>
      <w:r>
        <w:rPr>
          <w:rFonts w:hint="eastAsia" w:ascii="Times New Roman" w:hAnsi="Times New Roman" w:eastAsia="方正仿宋_GBK" w:cs="Times New Roman"/>
          <w:color w:val="252525" w:themeColor="text1" w:themeTint="D9"/>
          <w:szCs w:val="21"/>
        </w:rPr>
        <w:t>4</w:t>
      </w:r>
      <w:r>
        <w:rPr>
          <w:rFonts w:ascii="Times New Roman" w:hAnsi="Times New Roman" w:eastAsia="方正仿宋_GBK" w:cs="Times New Roman"/>
          <w:color w:val="252525" w:themeColor="text1" w:themeTint="D9"/>
          <w:szCs w:val="21"/>
        </w:rPr>
        <w:t>月</w:t>
      </w:r>
      <w:r>
        <w:rPr>
          <w:rFonts w:hint="eastAsia" w:ascii="Times New Roman" w:hAnsi="Times New Roman" w:eastAsia="方正仿宋_GBK" w:cs="Times New Roman"/>
          <w:color w:val="252525" w:themeColor="text1" w:themeTint="D9"/>
          <w:szCs w:val="21"/>
        </w:rPr>
        <w:t>11</w:t>
      </w:r>
      <w:r>
        <w:rPr>
          <w:rFonts w:ascii="Times New Roman" w:hAnsi="Times New Roman" w:eastAsia="方正仿宋_GBK" w:cs="Times New Roman"/>
          <w:color w:val="252525" w:themeColor="text1" w:themeTint="D9"/>
          <w:szCs w:val="21"/>
        </w:rPr>
        <w:t>日；</w:t>
      </w:r>
    </w:p>
    <w:p>
      <w:pPr>
        <w:spacing w:line="360" w:lineRule="exact"/>
        <w:ind w:firstLine="428" w:firstLineChars="204"/>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（二）采矿权名称（暂定名）：南川区东城街道大铺子居委三组水泥配料用页岩矿；</w:t>
      </w:r>
    </w:p>
    <w:p>
      <w:pPr>
        <w:spacing w:line="360" w:lineRule="exact"/>
        <w:ind w:firstLine="428" w:firstLineChars="204"/>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（三）矿山地址：南川区东城街道大铺子居委三组；</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（四）矿区面积：0.0668平方公里；</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（五）开采标高：+720米至+610米 ；</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（六）开采矿种：水泥配料用页岩、建筑石料用灰岩</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（七）资源储量：</w:t>
      </w:r>
      <w:r>
        <w:rPr>
          <w:rFonts w:ascii="Times New Roman" w:hAnsi="Times New Roman" w:eastAsia="方正仿宋_GBK" w:cs="Times New Roman"/>
          <w:bCs/>
          <w:szCs w:val="21"/>
        </w:rPr>
        <w:t>247.3万吨（</w:t>
      </w:r>
      <w:r>
        <w:rPr>
          <w:rFonts w:ascii="Times New Roman" w:hAnsi="Times New Roman" w:eastAsia="方正仿宋_GBK" w:cs="Times New Roman"/>
          <w:color w:val="252525" w:themeColor="text1" w:themeTint="D9"/>
          <w:szCs w:val="21"/>
        </w:rPr>
        <w:t>水泥配料用页岩224.7万吨，建筑石料用灰岩22.6万吨</w:t>
      </w:r>
      <w:r>
        <w:rPr>
          <w:rFonts w:ascii="Times New Roman" w:hAnsi="Times New Roman" w:eastAsia="方正仿宋_GBK" w:cs="Times New Roman"/>
          <w:bCs/>
          <w:szCs w:val="21"/>
        </w:rPr>
        <w:t>）</w:t>
      </w:r>
      <w:r>
        <w:rPr>
          <w:rFonts w:ascii="Times New Roman" w:hAnsi="Times New Roman" w:eastAsia="方正仿宋_GBK" w:cs="Times New Roman"/>
          <w:color w:val="252525" w:themeColor="text1" w:themeTint="D9"/>
          <w:szCs w:val="21"/>
        </w:rPr>
        <w:t>；</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（八）拟建设生产规模：30万吨/年 ；</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（九）出让年限：7.1年；</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（十）出让收益起始价：362.35万元；</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（十一）矿区范围坐标（2000坐标系）：</w:t>
      </w:r>
    </w:p>
    <w:tbl>
      <w:tblPr>
        <w:tblStyle w:val="8"/>
        <w:tblpPr w:leftFromText="180" w:rightFromText="180" w:vertAnchor="text" w:horzAnchor="page" w:tblpX="2083" w:tblpY="140"/>
        <w:tblOverlap w:val="never"/>
        <w:tblW w:w="83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3"/>
        <w:gridCol w:w="1590"/>
        <w:gridCol w:w="1701"/>
        <w:gridCol w:w="949"/>
        <w:gridCol w:w="1547"/>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pPr>
              <w:widowControl/>
              <w:spacing w:line="360" w:lineRule="exact"/>
              <w:jc w:val="center"/>
              <w:textAlignment w:val="center"/>
              <w:rPr>
                <w:rFonts w:ascii="方正黑体_GBK" w:hAnsi="Times New Roman" w:eastAsia="方正黑体_GBK" w:cs="Times New Roman"/>
                <w:color w:val="252525" w:themeColor="text1" w:themeTint="D9"/>
                <w:kern w:val="0"/>
                <w:szCs w:val="21"/>
              </w:rPr>
            </w:pPr>
            <w:r>
              <w:rPr>
                <w:rFonts w:hint="eastAsia" w:ascii="方正黑体_GBK" w:hAnsi="Times New Roman" w:eastAsia="方正黑体_GBK" w:cs="Times New Roman"/>
                <w:color w:val="252525" w:themeColor="text1" w:themeTint="D9"/>
                <w:kern w:val="0"/>
                <w:szCs w:val="21"/>
              </w:rPr>
              <w:t>拐点</w:t>
            </w:r>
          </w:p>
        </w:tc>
        <w:tc>
          <w:tcPr>
            <w:tcW w:w="1590" w:type="dxa"/>
            <w:vAlign w:val="center"/>
          </w:tcPr>
          <w:p>
            <w:pPr>
              <w:snapToGrid w:val="0"/>
              <w:spacing w:line="360" w:lineRule="exact"/>
              <w:jc w:val="center"/>
              <w:rPr>
                <w:rFonts w:ascii="方正黑体_GBK" w:hAnsi="Times New Roman" w:eastAsia="方正黑体_GBK" w:cs="Times New Roman"/>
                <w:bCs/>
                <w:color w:val="252525" w:themeColor="text1" w:themeTint="D9"/>
                <w:szCs w:val="21"/>
              </w:rPr>
            </w:pPr>
            <w:r>
              <w:rPr>
                <w:rFonts w:hint="eastAsia" w:ascii="方正黑体_GBK" w:hAnsi="Times New Roman" w:eastAsia="方正黑体_GBK" w:cs="Times New Roman"/>
                <w:bCs/>
                <w:color w:val="252525" w:themeColor="text1" w:themeTint="D9"/>
                <w:szCs w:val="21"/>
              </w:rPr>
              <w:t>X</w:t>
            </w:r>
          </w:p>
        </w:tc>
        <w:tc>
          <w:tcPr>
            <w:tcW w:w="1701" w:type="dxa"/>
            <w:vAlign w:val="center"/>
          </w:tcPr>
          <w:p>
            <w:pPr>
              <w:snapToGrid w:val="0"/>
              <w:spacing w:line="360" w:lineRule="exact"/>
              <w:jc w:val="center"/>
              <w:rPr>
                <w:rFonts w:ascii="方正黑体_GBK" w:hAnsi="Times New Roman" w:eastAsia="方正黑体_GBK" w:cs="Times New Roman"/>
                <w:bCs/>
                <w:color w:val="252525" w:themeColor="text1" w:themeTint="D9"/>
                <w:szCs w:val="21"/>
              </w:rPr>
            </w:pPr>
            <w:r>
              <w:rPr>
                <w:rFonts w:hint="eastAsia" w:ascii="方正黑体_GBK" w:hAnsi="Times New Roman" w:eastAsia="方正黑体_GBK" w:cs="Times New Roman"/>
                <w:bCs/>
                <w:color w:val="252525" w:themeColor="text1" w:themeTint="D9"/>
                <w:szCs w:val="21"/>
              </w:rPr>
              <w:t>Y</w:t>
            </w:r>
          </w:p>
        </w:tc>
        <w:tc>
          <w:tcPr>
            <w:tcW w:w="949" w:type="dxa"/>
            <w:vAlign w:val="center"/>
          </w:tcPr>
          <w:p>
            <w:pPr>
              <w:widowControl/>
              <w:spacing w:line="360" w:lineRule="exact"/>
              <w:jc w:val="center"/>
              <w:textAlignment w:val="center"/>
              <w:rPr>
                <w:rFonts w:ascii="方正黑体_GBK" w:hAnsi="Times New Roman" w:eastAsia="方正黑体_GBK" w:cs="Times New Roman"/>
                <w:color w:val="252525" w:themeColor="text1" w:themeTint="D9"/>
                <w:kern w:val="0"/>
                <w:szCs w:val="21"/>
              </w:rPr>
            </w:pPr>
            <w:r>
              <w:rPr>
                <w:rFonts w:hint="eastAsia" w:ascii="方正黑体_GBK" w:hAnsi="Times New Roman" w:eastAsia="方正黑体_GBK" w:cs="Times New Roman"/>
                <w:color w:val="252525" w:themeColor="text1" w:themeTint="D9"/>
                <w:kern w:val="0"/>
                <w:szCs w:val="21"/>
              </w:rPr>
              <w:t>拐点</w:t>
            </w:r>
          </w:p>
        </w:tc>
        <w:tc>
          <w:tcPr>
            <w:tcW w:w="1547" w:type="dxa"/>
            <w:vAlign w:val="center"/>
          </w:tcPr>
          <w:p>
            <w:pPr>
              <w:snapToGrid w:val="0"/>
              <w:spacing w:line="360" w:lineRule="exact"/>
              <w:jc w:val="center"/>
              <w:rPr>
                <w:rFonts w:ascii="方正黑体_GBK" w:hAnsi="Times New Roman" w:eastAsia="方正黑体_GBK" w:cs="Times New Roman"/>
                <w:bCs/>
                <w:color w:val="252525" w:themeColor="text1" w:themeTint="D9"/>
                <w:szCs w:val="21"/>
              </w:rPr>
            </w:pPr>
            <w:r>
              <w:rPr>
                <w:rFonts w:hint="eastAsia" w:ascii="方正黑体_GBK" w:hAnsi="Times New Roman" w:eastAsia="方正黑体_GBK" w:cs="Times New Roman"/>
                <w:bCs/>
                <w:color w:val="252525" w:themeColor="text1" w:themeTint="D9"/>
                <w:szCs w:val="21"/>
              </w:rPr>
              <w:t>X</w:t>
            </w:r>
          </w:p>
        </w:tc>
        <w:tc>
          <w:tcPr>
            <w:tcW w:w="1701" w:type="dxa"/>
            <w:vAlign w:val="center"/>
          </w:tcPr>
          <w:p>
            <w:pPr>
              <w:snapToGrid w:val="0"/>
              <w:spacing w:line="360" w:lineRule="exact"/>
              <w:jc w:val="center"/>
              <w:rPr>
                <w:rFonts w:ascii="方正黑体_GBK" w:hAnsi="Times New Roman" w:eastAsia="方正黑体_GBK" w:cs="Times New Roman"/>
                <w:bCs/>
                <w:color w:val="252525" w:themeColor="text1" w:themeTint="D9"/>
                <w:szCs w:val="21"/>
              </w:rPr>
            </w:pPr>
            <w:r>
              <w:rPr>
                <w:rFonts w:hint="eastAsia" w:ascii="方正黑体_GBK" w:hAnsi="Times New Roman" w:eastAsia="方正黑体_GBK" w:cs="Times New Roman"/>
                <w:bCs/>
                <w:color w:val="252525" w:themeColor="text1" w:themeTint="D9"/>
                <w:szCs w:val="21"/>
              </w:rPr>
              <w: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93" w:type="dxa"/>
            <w:vAlign w:val="center"/>
          </w:tcPr>
          <w:p>
            <w:pPr>
              <w:widowControl/>
              <w:spacing w:line="360" w:lineRule="exact"/>
              <w:jc w:val="center"/>
              <w:textAlignment w:val="center"/>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1</w:t>
            </w:r>
          </w:p>
        </w:tc>
        <w:tc>
          <w:tcPr>
            <w:tcW w:w="1590" w:type="dxa"/>
            <w:vAlign w:val="center"/>
          </w:tcPr>
          <w:p>
            <w:pPr>
              <w:widowControl/>
              <w:spacing w:line="360" w:lineRule="exact"/>
              <w:jc w:val="center"/>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3226241.64</w:t>
            </w:r>
          </w:p>
        </w:tc>
        <w:tc>
          <w:tcPr>
            <w:tcW w:w="1701" w:type="dxa"/>
            <w:vAlign w:val="center"/>
          </w:tcPr>
          <w:p>
            <w:pPr>
              <w:widowControl/>
              <w:spacing w:line="360" w:lineRule="exact"/>
              <w:jc w:val="center"/>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36417915.13</w:t>
            </w:r>
          </w:p>
        </w:tc>
        <w:tc>
          <w:tcPr>
            <w:tcW w:w="949" w:type="dxa"/>
            <w:vAlign w:val="center"/>
          </w:tcPr>
          <w:p>
            <w:pPr>
              <w:widowControl/>
              <w:spacing w:line="360" w:lineRule="exact"/>
              <w:jc w:val="center"/>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6</w:t>
            </w:r>
          </w:p>
        </w:tc>
        <w:tc>
          <w:tcPr>
            <w:tcW w:w="1547" w:type="dxa"/>
            <w:vAlign w:val="center"/>
          </w:tcPr>
          <w:p>
            <w:pPr>
              <w:widowControl/>
              <w:spacing w:line="360" w:lineRule="exact"/>
              <w:jc w:val="center"/>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3226005.12</w:t>
            </w:r>
          </w:p>
        </w:tc>
        <w:tc>
          <w:tcPr>
            <w:tcW w:w="1701" w:type="dxa"/>
            <w:vAlign w:val="center"/>
          </w:tcPr>
          <w:p>
            <w:pPr>
              <w:widowControl/>
              <w:spacing w:line="360" w:lineRule="exact"/>
              <w:jc w:val="center"/>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36418219.43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93" w:type="dxa"/>
            <w:vAlign w:val="center"/>
          </w:tcPr>
          <w:p>
            <w:pPr>
              <w:widowControl/>
              <w:spacing w:line="360" w:lineRule="exact"/>
              <w:jc w:val="center"/>
              <w:textAlignment w:val="center"/>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2</w:t>
            </w:r>
          </w:p>
        </w:tc>
        <w:tc>
          <w:tcPr>
            <w:tcW w:w="1590" w:type="dxa"/>
            <w:vAlign w:val="center"/>
          </w:tcPr>
          <w:p>
            <w:pPr>
              <w:widowControl/>
              <w:spacing w:line="360" w:lineRule="exact"/>
              <w:jc w:val="center"/>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3226272.50</w:t>
            </w:r>
          </w:p>
        </w:tc>
        <w:tc>
          <w:tcPr>
            <w:tcW w:w="1701" w:type="dxa"/>
            <w:vAlign w:val="center"/>
          </w:tcPr>
          <w:p>
            <w:pPr>
              <w:widowControl/>
              <w:spacing w:line="360" w:lineRule="exact"/>
              <w:jc w:val="center"/>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36417988.56</w:t>
            </w:r>
          </w:p>
        </w:tc>
        <w:tc>
          <w:tcPr>
            <w:tcW w:w="949" w:type="dxa"/>
            <w:vAlign w:val="center"/>
          </w:tcPr>
          <w:p>
            <w:pPr>
              <w:widowControl/>
              <w:spacing w:line="360" w:lineRule="exact"/>
              <w:jc w:val="center"/>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7</w:t>
            </w:r>
          </w:p>
        </w:tc>
        <w:tc>
          <w:tcPr>
            <w:tcW w:w="1547" w:type="dxa"/>
            <w:vAlign w:val="center"/>
          </w:tcPr>
          <w:p>
            <w:pPr>
              <w:widowControl/>
              <w:spacing w:line="360" w:lineRule="exact"/>
              <w:jc w:val="center"/>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3225924.31</w:t>
            </w:r>
          </w:p>
        </w:tc>
        <w:tc>
          <w:tcPr>
            <w:tcW w:w="1701" w:type="dxa"/>
            <w:vAlign w:val="center"/>
          </w:tcPr>
          <w:p>
            <w:pPr>
              <w:widowControl/>
              <w:spacing w:line="360" w:lineRule="exact"/>
              <w:jc w:val="center"/>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36417996.35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93" w:type="dxa"/>
            <w:vAlign w:val="center"/>
          </w:tcPr>
          <w:p>
            <w:pPr>
              <w:widowControl/>
              <w:spacing w:line="360" w:lineRule="exact"/>
              <w:jc w:val="center"/>
              <w:textAlignment w:val="center"/>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3</w:t>
            </w:r>
          </w:p>
        </w:tc>
        <w:tc>
          <w:tcPr>
            <w:tcW w:w="1590" w:type="dxa"/>
            <w:vAlign w:val="center"/>
          </w:tcPr>
          <w:p>
            <w:pPr>
              <w:widowControl/>
              <w:spacing w:line="360" w:lineRule="exact"/>
              <w:jc w:val="center"/>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3226276.83</w:t>
            </w:r>
          </w:p>
        </w:tc>
        <w:tc>
          <w:tcPr>
            <w:tcW w:w="1701" w:type="dxa"/>
            <w:vAlign w:val="center"/>
          </w:tcPr>
          <w:p>
            <w:pPr>
              <w:widowControl/>
              <w:spacing w:line="360" w:lineRule="exact"/>
              <w:jc w:val="center"/>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36418016.18</w:t>
            </w:r>
          </w:p>
        </w:tc>
        <w:tc>
          <w:tcPr>
            <w:tcW w:w="949" w:type="dxa"/>
            <w:vAlign w:val="center"/>
          </w:tcPr>
          <w:p>
            <w:pPr>
              <w:widowControl/>
              <w:spacing w:line="360" w:lineRule="exact"/>
              <w:jc w:val="center"/>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8</w:t>
            </w:r>
          </w:p>
        </w:tc>
        <w:tc>
          <w:tcPr>
            <w:tcW w:w="1547" w:type="dxa"/>
            <w:vAlign w:val="center"/>
          </w:tcPr>
          <w:p>
            <w:pPr>
              <w:widowControl/>
              <w:spacing w:line="360" w:lineRule="exact"/>
              <w:jc w:val="center"/>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3225997.56</w:t>
            </w:r>
          </w:p>
        </w:tc>
        <w:tc>
          <w:tcPr>
            <w:tcW w:w="1701" w:type="dxa"/>
            <w:vAlign w:val="center"/>
          </w:tcPr>
          <w:p>
            <w:pPr>
              <w:widowControl/>
              <w:spacing w:line="360" w:lineRule="exact"/>
              <w:jc w:val="center"/>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36417953.29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93" w:type="dxa"/>
            <w:vAlign w:val="center"/>
          </w:tcPr>
          <w:p>
            <w:pPr>
              <w:widowControl/>
              <w:spacing w:line="360" w:lineRule="exact"/>
              <w:jc w:val="center"/>
              <w:textAlignment w:val="center"/>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4</w:t>
            </w:r>
          </w:p>
        </w:tc>
        <w:tc>
          <w:tcPr>
            <w:tcW w:w="1590" w:type="dxa"/>
            <w:vAlign w:val="center"/>
          </w:tcPr>
          <w:p>
            <w:pPr>
              <w:widowControl/>
              <w:spacing w:line="360" w:lineRule="exact"/>
              <w:jc w:val="center"/>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3226245.41</w:t>
            </w:r>
          </w:p>
        </w:tc>
        <w:tc>
          <w:tcPr>
            <w:tcW w:w="1701" w:type="dxa"/>
            <w:vAlign w:val="center"/>
          </w:tcPr>
          <w:p>
            <w:pPr>
              <w:widowControl/>
              <w:spacing w:line="360" w:lineRule="exact"/>
              <w:jc w:val="center"/>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36418048.68</w:t>
            </w:r>
          </w:p>
        </w:tc>
        <w:tc>
          <w:tcPr>
            <w:tcW w:w="949" w:type="dxa"/>
            <w:vAlign w:val="center"/>
          </w:tcPr>
          <w:p>
            <w:pPr>
              <w:widowControl/>
              <w:spacing w:line="360" w:lineRule="exact"/>
              <w:jc w:val="center"/>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9</w:t>
            </w:r>
          </w:p>
        </w:tc>
        <w:tc>
          <w:tcPr>
            <w:tcW w:w="1547" w:type="dxa"/>
            <w:vAlign w:val="center"/>
          </w:tcPr>
          <w:p>
            <w:pPr>
              <w:widowControl/>
              <w:spacing w:line="360" w:lineRule="exact"/>
              <w:jc w:val="center"/>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3226192.36</w:t>
            </w:r>
          </w:p>
        </w:tc>
        <w:tc>
          <w:tcPr>
            <w:tcW w:w="1701" w:type="dxa"/>
            <w:vAlign w:val="center"/>
          </w:tcPr>
          <w:p>
            <w:pPr>
              <w:widowControl/>
              <w:spacing w:line="360" w:lineRule="exact"/>
              <w:jc w:val="center"/>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36417940.59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93" w:type="dxa"/>
            <w:vAlign w:val="center"/>
          </w:tcPr>
          <w:p>
            <w:pPr>
              <w:widowControl/>
              <w:spacing w:line="360" w:lineRule="exact"/>
              <w:jc w:val="center"/>
              <w:textAlignment w:val="center"/>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5</w:t>
            </w:r>
          </w:p>
        </w:tc>
        <w:tc>
          <w:tcPr>
            <w:tcW w:w="1590" w:type="dxa"/>
            <w:vAlign w:val="center"/>
          </w:tcPr>
          <w:p>
            <w:pPr>
              <w:widowControl/>
              <w:spacing w:line="360" w:lineRule="exact"/>
              <w:jc w:val="center"/>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3226264.85</w:t>
            </w:r>
          </w:p>
        </w:tc>
        <w:tc>
          <w:tcPr>
            <w:tcW w:w="1701" w:type="dxa"/>
            <w:vAlign w:val="center"/>
          </w:tcPr>
          <w:p>
            <w:pPr>
              <w:widowControl/>
              <w:spacing w:line="360" w:lineRule="exact"/>
              <w:jc w:val="center"/>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36418098.25</w:t>
            </w:r>
          </w:p>
        </w:tc>
        <w:tc>
          <w:tcPr>
            <w:tcW w:w="949" w:type="dxa"/>
            <w:vAlign w:val="center"/>
          </w:tcPr>
          <w:p>
            <w:pPr>
              <w:widowControl/>
              <w:spacing w:line="360" w:lineRule="exact"/>
              <w:jc w:val="center"/>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w:t>
            </w:r>
          </w:p>
        </w:tc>
        <w:tc>
          <w:tcPr>
            <w:tcW w:w="1547" w:type="dxa"/>
            <w:vAlign w:val="center"/>
          </w:tcPr>
          <w:p>
            <w:pPr>
              <w:widowControl/>
              <w:spacing w:line="360" w:lineRule="exact"/>
              <w:jc w:val="center"/>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w:t>
            </w:r>
          </w:p>
        </w:tc>
        <w:tc>
          <w:tcPr>
            <w:tcW w:w="1701" w:type="dxa"/>
            <w:vAlign w:val="center"/>
          </w:tcPr>
          <w:p>
            <w:pPr>
              <w:widowControl/>
              <w:spacing w:line="360" w:lineRule="exact"/>
              <w:jc w:val="center"/>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w:t>
            </w:r>
          </w:p>
        </w:tc>
      </w:tr>
    </w:tbl>
    <w:p>
      <w:pPr>
        <w:spacing w:line="360" w:lineRule="exact"/>
        <w:ind w:firstLine="420" w:firstLineChars="200"/>
        <w:rPr>
          <w:rFonts w:ascii="方正黑体_GBK" w:hAnsi="Times New Roman" w:eastAsia="方正黑体_GBK" w:cs="Times New Roman"/>
          <w:color w:val="252525" w:themeColor="text1" w:themeTint="D9"/>
          <w:kern w:val="0"/>
          <w:szCs w:val="21"/>
        </w:rPr>
      </w:pPr>
      <w:r>
        <w:rPr>
          <w:rFonts w:hint="eastAsia" w:ascii="方正黑体_GBK" w:hAnsi="Times New Roman" w:eastAsia="方正黑体_GBK" w:cs="Times New Roman"/>
          <w:color w:val="252525" w:themeColor="text1" w:themeTint="D9"/>
          <w:kern w:val="0"/>
          <w:szCs w:val="21"/>
        </w:rPr>
        <w:t>二、出让人、交易平台联系方式</w:t>
      </w:r>
    </w:p>
    <w:p>
      <w:pPr>
        <w:spacing w:line="360" w:lineRule="exact"/>
        <w:ind w:firstLine="420" w:firstLineChars="200"/>
        <w:rPr>
          <w:rFonts w:ascii="方正楷体_GBK" w:hAnsi="Times New Roman" w:eastAsia="方正楷体_GBK" w:cs="Times New Roman"/>
          <w:b/>
          <w:bCs/>
          <w:color w:val="252525" w:themeColor="text1" w:themeTint="D9"/>
          <w:szCs w:val="21"/>
        </w:rPr>
      </w:pPr>
      <w:r>
        <w:rPr>
          <w:rFonts w:hint="eastAsia" w:ascii="方正楷体_GBK" w:hAnsi="Times New Roman" w:eastAsia="方正楷体_GBK" w:cs="Times New Roman"/>
          <w:color w:val="252525" w:themeColor="text1" w:themeTint="D9"/>
          <w:kern w:val="0"/>
          <w:szCs w:val="21"/>
        </w:rPr>
        <w:t>（一）出让人</w:t>
      </w:r>
    </w:p>
    <w:p>
      <w:pPr>
        <w:spacing w:line="360" w:lineRule="exact"/>
        <w:ind w:firstLine="420" w:firstLineChars="200"/>
        <w:rPr>
          <w:rFonts w:ascii="Times New Roman" w:hAnsi="Times New Roman" w:eastAsia="方正仿宋_GBK" w:cs="Times New Roman"/>
          <w:b/>
          <w:bCs/>
          <w:color w:val="252525" w:themeColor="text1" w:themeTint="D9"/>
          <w:szCs w:val="21"/>
        </w:rPr>
      </w:pPr>
      <w:r>
        <w:rPr>
          <w:rFonts w:ascii="Times New Roman" w:hAnsi="Times New Roman" w:eastAsia="方正仿宋_GBK" w:cs="Times New Roman"/>
          <w:color w:val="252525" w:themeColor="text1" w:themeTint="D9"/>
          <w:kern w:val="0"/>
          <w:szCs w:val="21"/>
        </w:rPr>
        <w:t>本宗采矿权出让人为</w:t>
      </w:r>
      <w:r>
        <w:rPr>
          <w:rFonts w:hint="eastAsia" w:ascii="Times New Roman" w:hAnsi="Times New Roman" w:eastAsia="方正仿宋_GBK" w:cs="Times New Roman"/>
          <w:color w:val="252525" w:themeColor="text1" w:themeTint="D9"/>
          <w:kern w:val="0"/>
          <w:szCs w:val="21"/>
        </w:rPr>
        <w:t>重庆市</w:t>
      </w:r>
      <w:r>
        <w:rPr>
          <w:rFonts w:ascii="Times New Roman" w:hAnsi="Times New Roman" w:eastAsia="方正仿宋_GBK" w:cs="Times New Roman"/>
          <w:color w:val="252525" w:themeColor="text1" w:themeTint="D9"/>
          <w:kern w:val="0"/>
          <w:szCs w:val="21"/>
        </w:rPr>
        <w:t>南川区规划和自然资源局；</w:t>
      </w:r>
    </w:p>
    <w:p>
      <w:pPr>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地址：</w:t>
      </w:r>
      <w:r>
        <w:rPr>
          <w:rFonts w:hint="eastAsia" w:ascii="Times New Roman" w:hAnsi="Times New Roman" w:eastAsia="方正仿宋_GBK" w:cs="Times New Roman"/>
          <w:color w:val="252525" w:themeColor="text1" w:themeTint="D9"/>
          <w:kern w:val="0"/>
          <w:szCs w:val="21"/>
        </w:rPr>
        <w:t>重庆市</w:t>
      </w:r>
      <w:r>
        <w:rPr>
          <w:rFonts w:ascii="Times New Roman" w:hAnsi="Times New Roman" w:eastAsia="方正仿宋_GBK" w:cs="Times New Roman"/>
          <w:color w:val="252525" w:themeColor="text1" w:themeTint="D9"/>
          <w:kern w:val="0"/>
          <w:szCs w:val="21"/>
        </w:rPr>
        <w:t>南川区南大街89号；</w:t>
      </w:r>
    </w:p>
    <w:p>
      <w:pPr>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联系人：王老师，联系电话:023-71420530。</w:t>
      </w:r>
    </w:p>
    <w:p>
      <w:pPr>
        <w:spacing w:line="360" w:lineRule="exact"/>
        <w:ind w:firstLine="420" w:firstLineChars="200"/>
        <w:rPr>
          <w:rFonts w:ascii="方正楷体_GBK" w:hAnsi="Times New Roman" w:eastAsia="方正楷体_GBK" w:cs="Times New Roman"/>
          <w:color w:val="252525" w:themeColor="text1" w:themeTint="D9"/>
          <w:kern w:val="0"/>
          <w:szCs w:val="21"/>
        </w:rPr>
      </w:pPr>
      <w:r>
        <w:rPr>
          <w:rFonts w:hint="eastAsia" w:ascii="方正楷体_GBK" w:hAnsi="Times New Roman" w:eastAsia="方正楷体_GBK" w:cs="Times New Roman"/>
          <w:color w:val="252525" w:themeColor="text1" w:themeTint="D9"/>
          <w:kern w:val="0"/>
          <w:szCs w:val="21"/>
        </w:rPr>
        <w:t>（二）交易平台</w:t>
      </w:r>
    </w:p>
    <w:p>
      <w:pPr>
        <w:spacing w:line="360" w:lineRule="exact"/>
        <w:ind w:firstLine="420" w:firstLineChars="200"/>
        <w:rPr>
          <w:rFonts w:ascii="Times New Roman" w:hAnsi="Times New Roman" w:eastAsia="方正仿宋_GBK" w:cs="Times New Roman"/>
          <w:b/>
          <w:bCs/>
          <w:color w:val="252525" w:themeColor="text1" w:themeTint="D9"/>
          <w:szCs w:val="21"/>
        </w:rPr>
      </w:pPr>
      <w:r>
        <w:rPr>
          <w:rFonts w:ascii="Times New Roman" w:hAnsi="Times New Roman" w:eastAsia="方正仿宋_GBK" w:cs="Times New Roman"/>
          <w:color w:val="252525" w:themeColor="text1" w:themeTint="D9"/>
          <w:kern w:val="0"/>
          <w:szCs w:val="21"/>
        </w:rPr>
        <w:t>本宗采矿权交易平台为重庆市公共资源交易中心。</w:t>
      </w:r>
    </w:p>
    <w:p>
      <w:pPr>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地址：重庆市渝北区青枫北路6号渝兴广场B9、B10栋</w:t>
      </w:r>
    </w:p>
    <w:p>
      <w:pPr>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联系人：王老师，联系电话</w:t>
      </w:r>
      <w:r>
        <w:rPr>
          <w:rFonts w:hint="eastAsia" w:ascii="Times New Roman" w:hAnsi="Times New Roman" w:eastAsia="方正仿宋_GBK" w:cs="Times New Roman"/>
          <w:color w:val="252525" w:themeColor="text1" w:themeTint="D9"/>
          <w:kern w:val="0"/>
          <w:szCs w:val="21"/>
        </w:rPr>
        <w:t>：</w:t>
      </w:r>
      <w:r>
        <w:rPr>
          <w:rFonts w:ascii="Times New Roman" w:hAnsi="Times New Roman" w:eastAsia="方正仿宋_GBK" w:cs="Times New Roman"/>
          <w:color w:val="252525" w:themeColor="text1" w:themeTint="D9"/>
          <w:kern w:val="0"/>
          <w:szCs w:val="21"/>
        </w:rPr>
        <w:t>023-63628117。</w:t>
      </w:r>
    </w:p>
    <w:p>
      <w:pPr>
        <w:spacing w:line="360" w:lineRule="exact"/>
        <w:ind w:firstLine="420" w:firstLineChars="200"/>
        <w:rPr>
          <w:rFonts w:ascii="方正楷体_GBK" w:hAnsi="Times New Roman" w:eastAsia="方正楷体_GBK" w:cs="Times New Roman"/>
          <w:color w:val="252525" w:themeColor="text1" w:themeTint="D9"/>
          <w:kern w:val="0"/>
          <w:szCs w:val="21"/>
        </w:rPr>
      </w:pPr>
      <w:r>
        <w:rPr>
          <w:rFonts w:hint="eastAsia" w:ascii="方正楷体_GBK" w:hAnsi="Times New Roman" w:eastAsia="方正楷体_GBK" w:cs="Times New Roman"/>
          <w:color w:val="252525" w:themeColor="text1" w:themeTint="D9"/>
          <w:kern w:val="0"/>
          <w:szCs w:val="21"/>
        </w:rPr>
        <w:t>（三）实体CA 证书办理</w:t>
      </w:r>
    </w:p>
    <w:p>
      <w:pPr>
        <w:pStyle w:val="7"/>
        <w:wordWrap w:val="0"/>
        <w:topLinePunct/>
        <w:spacing w:beforeAutospacing="0" w:afterAutospacing="0" w:line="360" w:lineRule="exact"/>
        <w:ind w:firstLine="420" w:firstLineChars="200"/>
        <w:rPr>
          <w:rFonts w:ascii="Times New Roman" w:hAnsi="Times New Roman" w:eastAsia="方正仿宋_GBK" w:cs="Times New Roman"/>
          <w:color w:val="000000" w:themeColor="text1"/>
          <w:sz w:val="21"/>
          <w:szCs w:val="21"/>
        </w:rPr>
      </w:pPr>
      <w:r>
        <w:rPr>
          <w:rFonts w:ascii="Times New Roman" w:hAnsi="Times New Roman" w:eastAsia="方正仿宋_GBK" w:cs="Times New Roman"/>
          <w:color w:val="000000" w:themeColor="text1"/>
          <w:sz w:val="21"/>
          <w:szCs w:val="21"/>
        </w:rPr>
        <w:t>申请人可在重庆市公共资源交易网CA互认与办理专栏（网址：https://www.cqggzy.com/035/CAenter.html）按照办理须知办理实体CA证书。</w:t>
      </w:r>
    </w:p>
    <w:p>
      <w:pPr>
        <w:pStyle w:val="3"/>
        <w:spacing w:line="360" w:lineRule="exact"/>
        <w:ind w:left="0" w:firstLine="420" w:firstLineChars="200"/>
        <w:rPr>
          <w:rFonts w:ascii="Times New Roman" w:hAnsi="Times New Roman" w:eastAsia="方正仿宋_GBK" w:cs="Times New Roman"/>
          <w:color w:val="252525" w:themeColor="text1" w:themeTint="D9"/>
          <w:sz w:val="21"/>
          <w:szCs w:val="21"/>
          <w:lang w:eastAsia="zh-CN"/>
        </w:rPr>
      </w:pPr>
      <w:r>
        <w:rPr>
          <w:rFonts w:ascii="Times New Roman" w:hAnsi="Times New Roman" w:eastAsia="方正仿宋_GBK" w:cs="Times New Roman"/>
          <w:color w:val="000000" w:themeColor="text1"/>
          <w:sz w:val="21"/>
          <w:szCs w:val="21"/>
          <w:lang w:eastAsia="zh-CN"/>
        </w:rPr>
        <w:t>申请人应妥善保管CA数字证书及其密码，如CA数字证书遗失或者损毁、遗忘或者泄露密码，应及时办理挂失，并重新申领。申请人登记信息有变化的，应及时进行信息变更。</w:t>
      </w:r>
    </w:p>
    <w:p>
      <w:pPr>
        <w:spacing w:line="360" w:lineRule="exact"/>
        <w:ind w:firstLine="420" w:firstLineChars="200"/>
        <w:rPr>
          <w:rFonts w:ascii="方正黑体_GBK" w:hAnsi="Times New Roman" w:eastAsia="方正黑体_GBK" w:cs="Times New Roman"/>
          <w:color w:val="252525" w:themeColor="text1" w:themeTint="D9"/>
          <w:kern w:val="0"/>
          <w:szCs w:val="21"/>
        </w:rPr>
      </w:pPr>
      <w:r>
        <w:rPr>
          <w:rFonts w:hint="eastAsia" w:ascii="方正黑体_GBK" w:hAnsi="Times New Roman" w:eastAsia="方正黑体_GBK" w:cs="Times New Roman"/>
          <w:color w:val="252525" w:themeColor="text1" w:themeTint="D9"/>
          <w:kern w:val="0"/>
          <w:szCs w:val="21"/>
        </w:rPr>
        <w:t>三、竞买申请人准入条件</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（一）竞买申请人须为营利法人；</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（二）竞买申请人属于以下情形之一的不得参与竞买：</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1.在全国矿业权人勘查开采信息管理系统的“矿业权人异常名录”、“矿业权严重失信主体”内的；</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2.通过“信用中国”查询，在自然资源部联合惩戒备忘录或重庆市信用惩戒严重失信主体“黑名单”内限制禁止参与矿业权出让的；</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3.被吊销采矿许可证且自吊销之日起未满2年的。</w:t>
      </w:r>
    </w:p>
    <w:p>
      <w:pPr>
        <w:spacing w:line="360" w:lineRule="exact"/>
        <w:ind w:firstLine="420" w:firstLineChars="200"/>
        <w:rPr>
          <w:rFonts w:ascii="方正黑体_GBK" w:hAnsi="Times New Roman" w:eastAsia="方正黑体_GBK" w:cs="Times New Roman"/>
          <w:color w:val="252525" w:themeColor="text1" w:themeTint="D9"/>
          <w:kern w:val="0"/>
          <w:szCs w:val="21"/>
        </w:rPr>
      </w:pPr>
      <w:r>
        <w:rPr>
          <w:rFonts w:hint="eastAsia" w:ascii="方正黑体_GBK" w:hAnsi="Times New Roman" w:eastAsia="方正黑体_GBK" w:cs="Times New Roman"/>
          <w:color w:val="252525" w:themeColor="text1" w:themeTint="D9"/>
          <w:kern w:val="0"/>
          <w:szCs w:val="21"/>
        </w:rPr>
        <w:t>四、网上报名申请</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本次公开出让的采矿权采取</w:t>
      </w:r>
      <w:r>
        <w:rPr>
          <w:rFonts w:ascii="Times New Roman" w:hAnsi="Times New Roman" w:eastAsia="方正仿宋_GBK" w:cs="Times New Roman"/>
          <w:color w:val="252525" w:themeColor="text1" w:themeTint="D9"/>
          <w:szCs w:val="21"/>
          <w:u w:val="single"/>
        </w:rPr>
        <w:t>网上报名</w:t>
      </w:r>
      <w:r>
        <w:rPr>
          <w:rFonts w:ascii="Times New Roman" w:hAnsi="Times New Roman" w:eastAsia="方正仿宋_GBK" w:cs="Times New Roman"/>
          <w:color w:val="252525" w:themeColor="text1" w:themeTint="D9"/>
          <w:szCs w:val="21"/>
        </w:rPr>
        <w:t>方式：</w:t>
      </w:r>
    </w:p>
    <w:p>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方正楷体_GBK" w:hAnsi="Times New Roman" w:eastAsia="方正楷体_GBK" w:cs="Times New Roman"/>
          <w:color w:val="252525" w:themeColor="text1" w:themeTint="D9"/>
          <w:szCs w:val="21"/>
        </w:rPr>
        <w:t>（一）报名时限：</w:t>
      </w:r>
      <w:r>
        <w:rPr>
          <w:rFonts w:ascii="Times New Roman" w:hAnsi="Times New Roman" w:eastAsia="方正仿宋_GBK" w:cs="Times New Roman"/>
          <w:color w:val="252525" w:themeColor="text1" w:themeTint="D9"/>
          <w:szCs w:val="21"/>
        </w:rPr>
        <w:t>202</w:t>
      </w:r>
      <w:r>
        <w:rPr>
          <w:rFonts w:hint="eastAsia" w:ascii="Times New Roman" w:hAnsi="Times New Roman" w:eastAsia="方正仿宋_GBK" w:cs="Times New Roman"/>
          <w:color w:val="252525" w:themeColor="text1" w:themeTint="D9"/>
          <w:szCs w:val="21"/>
        </w:rPr>
        <w:t>5</w:t>
      </w:r>
      <w:r>
        <w:rPr>
          <w:rFonts w:ascii="Times New Roman" w:hAnsi="Times New Roman" w:eastAsia="方正仿宋_GBK" w:cs="Times New Roman"/>
          <w:color w:val="252525" w:themeColor="text1" w:themeTint="D9"/>
          <w:szCs w:val="21"/>
        </w:rPr>
        <w:t>年</w:t>
      </w:r>
      <w:r>
        <w:rPr>
          <w:rFonts w:hint="eastAsia" w:ascii="Times New Roman" w:hAnsi="Times New Roman" w:eastAsia="方正仿宋_GBK" w:cs="Times New Roman"/>
          <w:color w:val="252525" w:themeColor="text1" w:themeTint="D9"/>
          <w:szCs w:val="21"/>
        </w:rPr>
        <w:t>3</w:t>
      </w:r>
      <w:r>
        <w:rPr>
          <w:rFonts w:ascii="Times New Roman" w:hAnsi="Times New Roman" w:eastAsia="方正仿宋_GBK" w:cs="Times New Roman"/>
          <w:color w:val="252525" w:themeColor="text1" w:themeTint="D9"/>
          <w:szCs w:val="21"/>
        </w:rPr>
        <w:t>月</w:t>
      </w:r>
      <w:r>
        <w:rPr>
          <w:rFonts w:hint="eastAsia" w:ascii="Times New Roman" w:hAnsi="Times New Roman" w:eastAsia="方正仿宋_GBK" w:cs="Times New Roman"/>
          <w:color w:val="252525" w:themeColor="text1" w:themeTint="D9"/>
          <w:szCs w:val="21"/>
        </w:rPr>
        <w:t>14</w:t>
      </w:r>
      <w:r>
        <w:rPr>
          <w:rFonts w:ascii="Times New Roman" w:hAnsi="Times New Roman" w:eastAsia="方正仿宋_GBK" w:cs="Times New Roman"/>
          <w:color w:val="252525" w:themeColor="text1" w:themeTint="D9"/>
          <w:szCs w:val="21"/>
        </w:rPr>
        <w:t>日</w:t>
      </w:r>
      <w:r>
        <w:rPr>
          <w:rFonts w:hint="eastAsia" w:ascii="Times New Roman" w:hAnsi="Times New Roman" w:eastAsia="方正仿宋_GBK" w:cs="Times New Roman"/>
          <w:color w:val="252525" w:themeColor="text1" w:themeTint="D9"/>
          <w:szCs w:val="21"/>
        </w:rPr>
        <w:t>09：00时</w:t>
      </w:r>
      <w:r>
        <w:rPr>
          <w:rFonts w:ascii="Times New Roman" w:hAnsi="Times New Roman" w:eastAsia="方正仿宋_GBK" w:cs="Times New Roman"/>
          <w:color w:val="252525" w:themeColor="text1" w:themeTint="D9"/>
          <w:szCs w:val="21"/>
        </w:rPr>
        <w:t>-2025年</w:t>
      </w:r>
      <w:r>
        <w:rPr>
          <w:rFonts w:hint="eastAsia" w:ascii="Times New Roman" w:hAnsi="Times New Roman" w:eastAsia="方正仿宋_GBK" w:cs="Times New Roman"/>
          <w:color w:val="252525" w:themeColor="text1" w:themeTint="D9"/>
          <w:szCs w:val="21"/>
        </w:rPr>
        <w:t>4</w:t>
      </w:r>
      <w:r>
        <w:rPr>
          <w:rFonts w:ascii="Times New Roman" w:hAnsi="Times New Roman" w:eastAsia="方正仿宋_GBK" w:cs="Times New Roman"/>
          <w:color w:val="252525" w:themeColor="text1" w:themeTint="D9"/>
          <w:szCs w:val="21"/>
        </w:rPr>
        <w:t>月</w:t>
      </w:r>
      <w:r>
        <w:rPr>
          <w:rFonts w:hint="eastAsia" w:ascii="Times New Roman" w:hAnsi="Times New Roman" w:eastAsia="方正仿宋_GBK" w:cs="Times New Roman"/>
          <w:color w:val="252525" w:themeColor="text1" w:themeTint="D9"/>
          <w:szCs w:val="21"/>
        </w:rPr>
        <w:t>11</w:t>
      </w:r>
      <w:r>
        <w:rPr>
          <w:rFonts w:ascii="Times New Roman" w:hAnsi="Times New Roman" w:eastAsia="方正仿宋_GBK" w:cs="Times New Roman"/>
          <w:color w:val="252525" w:themeColor="text1" w:themeTint="D9"/>
          <w:szCs w:val="21"/>
        </w:rPr>
        <w:t>日</w:t>
      </w:r>
      <w:r>
        <w:rPr>
          <w:rFonts w:hint="eastAsia" w:ascii="Times New Roman" w:hAnsi="Times New Roman" w:eastAsia="方正仿宋_GBK" w:cs="Times New Roman"/>
          <w:color w:val="252525" w:themeColor="text1" w:themeTint="D9"/>
          <w:szCs w:val="21"/>
        </w:rPr>
        <w:t>17：00时</w:t>
      </w:r>
      <w:r>
        <w:rPr>
          <w:rFonts w:ascii="Times New Roman" w:hAnsi="Times New Roman" w:eastAsia="方正仿宋_GBK" w:cs="Times New Roman"/>
          <w:color w:val="252525" w:themeColor="text1" w:themeTint="D9"/>
          <w:szCs w:val="21"/>
        </w:rPr>
        <w:t>。</w:t>
      </w:r>
    </w:p>
    <w:p>
      <w:pPr>
        <w:spacing w:line="360" w:lineRule="exact"/>
        <w:ind w:firstLine="420" w:firstLineChars="200"/>
        <w:rPr>
          <w:rFonts w:ascii="Times New Roman" w:hAnsi="Times New Roman" w:eastAsia="方正仿宋_GBK" w:cs="Times New Roman"/>
          <w:color w:val="252525" w:themeColor="text1" w:themeTint="D9"/>
          <w:kern w:val="0"/>
          <w:szCs w:val="21"/>
        </w:rPr>
      </w:pPr>
      <w:r>
        <w:rPr>
          <w:rFonts w:hint="eastAsia" w:ascii="方正楷体_GBK" w:hAnsi="Times New Roman" w:eastAsia="方正楷体_GBK" w:cs="Times New Roman"/>
          <w:color w:val="252525" w:themeColor="text1" w:themeTint="D9"/>
          <w:szCs w:val="21"/>
        </w:rPr>
        <w:t>（二）资料获取：</w:t>
      </w:r>
      <w:r>
        <w:rPr>
          <w:rFonts w:ascii="Times New Roman" w:hAnsi="Times New Roman" w:eastAsia="方正仿宋_GBK" w:cs="Times New Roman"/>
          <w:color w:val="252525" w:themeColor="text1" w:themeTint="D9"/>
          <w:szCs w:val="21"/>
        </w:rPr>
        <w:t>申请人应在报名期限内登录</w:t>
      </w:r>
      <w:r>
        <w:rPr>
          <w:rFonts w:ascii="Times New Roman" w:hAnsi="Times New Roman" w:eastAsia="方正仿宋_GBK" w:cs="Times New Roman"/>
          <w:color w:val="252525" w:themeColor="text1" w:themeTint="D9"/>
          <w:kern w:val="0"/>
          <w:szCs w:val="21"/>
        </w:rPr>
        <w:t>重庆市公共资源交易中心</w:t>
      </w:r>
      <w:r>
        <w:rPr>
          <w:rFonts w:ascii="Times New Roman" w:hAnsi="Times New Roman" w:eastAsia="方正仿宋_GBK" w:cs="Times New Roman"/>
          <w:color w:val="252525" w:themeColor="text1" w:themeTint="D9"/>
          <w:szCs w:val="21"/>
        </w:rPr>
        <w:t>（网址：https://www.cqggzy.com），进入重庆市国有建设用地使用权和矿业权网上交易系统（网址：</w:t>
      </w:r>
      <w:r>
        <w:fldChar w:fldCharType="begin"/>
      </w:r>
      <w:r>
        <w:instrText xml:space="preserve"> HYPERLINK "https://td.cqggzy.com/），查阅、下载出让资料。" </w:instrText>
      </w:r>
      <w:r>
        <w:fldChar w:fldCharType="separate"/>
      </w:r>
      <w:r>
        <w:rPr>
          <w:rFonts w:ascii="Times New Roman" w:hAnsi="Times New Roman" w:eastAsia="方正仿宋_GBK" w:cs="Times New Roman"/>
          <w:color w:val="252525" w:themeColor="text1" w:themeTint="D9"/>
          <w:kern w:val="0"/>
          <w:szCs w:val="21"/>
        </w:rPr>
        <w:t>https://td.cqggzy.com/），查阅、下载出让资料。</w:t>
      </w:r>
      <w:r>
        <w:rPr>
          <w:rFonts w:ascii="Times New Roman" w:hAnsi="Times New Roman" w:eastAsia="方正仿宋_GBK" w:cs="Times New Roman"/>
          <w:color w:val="252525" w:themeColor="text1" w:themeTint="D9"/>
          <w:kern w:val="0"/>
          <w:szCs w:val="21"/>
        </w:rPr>
        <w:fldChar w:fldCharType="end"/>
      </w:r>
    </w:p>
    <w:p>
      <w:pPr>
        <w:spacing w:line="360" w:lineRule="exact"/>
        <w:ind w:firstLine="420" w:firstLineChars="200"/>
        <w:rPr>
          <w:rFonts w:ascii="方正楷体_GBK" w:hAnsi="Times New Roman" w:eastAsia="方正楷体_GBK" w:cs="Times New Roman"/>
          <w:color w:val="252525" w:themeColor="text1" w:themeTint="D9"/>
          <w:szCs w:val="21"/>
        </w:rPr>
      </w:pPr>
      <w:r>
        <w:rPr>
          <w:rFonts w:hint="eastAsia" w:ascii="方正楷体_GBK" w:hAnsi="Times New Roman" w:eastAsia="方正楷体_GBK" w:cs="Times New Roman"/>
          <w:color w:val="252525" w:themeColor="text1" w:themeTint="D9"/>
          <w:szCs w:val="21"/>
        </w:rPr>
        <w:t>（三）申请资料</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1.《竞买申请书》（原件1份）（附件</w:t>
      </w:r>
      <w:r>
        <w:rPr>
          <w:rFonts w:hint="eastAsia" w:ascii="Times New Roman" w:hAnsi="Times New Roman" w:eastAsia="方正仿宋_GBK" w:cs="Times New Roman"/>
          <w:color w:val="252525" w:themeColor="text1" w:themeTint="D9"/>
          <w:szCs w:val="21"/>
        </w:rPr>
        <w:t>1</w:t>
      </w:r>
      <w:r>
        <w:rPr>
          <w:rFonts w:ascii="Times New Roman" w:hAnsi="Times New Roman" w:eastAsia="方正仿宋_GBK" w:cs="Times New Roman"/>
          <w:color w:val="252525" w:themeColor="text1" w:themeTint="D9"/>
          <w:szCs w:val="21"/>
        </w:rPr>
        <w:t>）；</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2.工商营业执照副本（复印件1份）；</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3.法人身份证明（复印件1份）；</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4.法人不能亲自参加的应提供《授权委托书》（原件1份）（附件</w:t>
      </w:r>
      <w:r>
        <w:rPr>
          <w:rFonts w:hint="eastAsia" w:ascii="Times New Roman" w:hAnsi="Times New Roman" w:eastAsia="方正仿宋_GBK" w:cs="Times New Roman"/>
          <w:color w:val="252525" w:themeColor="text1" w:themeTint="D9"/>
          <w:szCs w:val="21"/>
        </w:rPr>
        <w:t>2</w:t>
      </w:r>
      <w:r>
        <w:rPr>
          <w:rFonts w:ascii="Times New Roman" w:hAnsi="Times New Roman" w:eastAsia="方正仿宋_GBK" w:cs="Times New Roman"/>
          <w:color w:val="252525" w:themeColor="text1" w:themeTint="D9"/>
          <w:szCs w:val="21"/>
        </w:rPr>
        <w:t>）；</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5.受托人身份证明（复印件1份）；</w:t>
      </w:r>
    </w:p>
    <w:p>
      <w:pPr>
        <w:spacing w:line="360" w:lineRule="exact"/>
        <w:ind w:firstLine="420" w:firstLineChars="200"/>
        <w:rPr>
          <w:rFonts w:ascii="Times New Roman" w:hAnsi="Times New Roman" w:eastAsia="方正仿宋_GBK" w:cs="Times New Roman"/>
          <w:i/>
          <w:color w:val="252525" w:themeColor="text1" w:themeTint="D9"/>
          <w:szCs w:val="21"/>
          <w:u w:val="single"/>
        </w:rPr>
      </w:pPr>
      <w:r>
        <w:rPr>
          <w:rFonts w:ascii="Times New Roman" w:hAnsi="Times New Roman" w:eastAsia="方正仿宋_GBK" w:cs="Times New Roman"/>
          <w:color w:val="252525" w:themeColor="text1" w:themeTint="D9"/>
          <w:szCs w:val="21"/>
        </w:rPr>
        <w:t>6.竞买申请人签署意见的《出让文件》（原件1份）。</w:t>
      </w:r>
    </w:p>
    <w:p>
      <w:pPr>
        <w:spacing w:line="360" w:lineRule="exact"/>
        <w:ind w:firstLine="420" w:firstLineChars="200"/>
        <w:rPr>
          <w:rFonts w:ascii="方正楷体_GBK" w:hAnsi="Times New Roman" w:eastAsia="方正楷体_GBK" w:cs="方正楷体_GBK"/>
          <w:color w:val="252525" w:themeColor="text1" w:themeTint="D9"/>
          <w:szCs w:val="21"/>
        </w:rPr>
      </w:pPr>
      <w:r>
        <w:rPr>
          <w:rFonts w:hint="eastAsia" w:ascii="方正楷体_GBK" w:hAnsi="Times New Roman" w:eastAsia="方正楷体_GBK" w:cs="方正楷体_GBK"/>
          <w:color w:val="252525" w:themeColor="text1" w:themeTint="D9"/>
          <w:szCs w:val="21"/>
        </w:rPr>
        <w:t>（四）网上报名</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在提交采矿权竞买申请之前，竞买申请人应当仔细阅读《重庆市矿业权网上出让交易规程》、《重庆市国有建设用地使用权和矿业权网上交易应急处置暂行规定》、网上交易公告、出让文件和其他相关文件。如对网上交易相关文件及采矿权信息有疑问的，可以向重庆市公共资源交易中心咨询。此次交易不组织对网上出让采矿权的现场踏勘，竞买申请人可自行前往现场踏勘。</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2.竞买申请人应当取得有效数字证书，方能参与网上交易竞买活动。详情请登录网上交易系统网站查看数字证书办理指南或咨询</w:t>
      </w:r>
      <w:r>
        <w:rPr>
          <w:rFonts w:ascii="Times New Roman" w:hAnsi="Times New Roman" w:eastAsia="方正仿宋_GBK" w:cs="Times New Roman"/>
          <w:color w:val="252525" w:themeColor="text1" w:themeTint="D9"/>
          <w:kern w:val="0"/>
          <w:szCs w:val="21"/>
        </w:rPr>
        <w:t>CA证书办理机构</w:t>
      </w:r>
      <w:r>
        <w:rPr>
          <w:rFonts w:ascii="Times New Roman" w:hAnsi="Times New Roman" w:eastAsia="方正仿宋_GBK" w:cs="Times New Roman"/>
          <w:color w:val="252525" w:themeColor="text1" w:themeTint="D9"/>
          <w:szCs w:val="21"/>
        </w:rPr>
        <w:t>。</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申请人可于报名期限内登录重庆市国有建设用地使用权和矿业权网上交易系统，按规定提交竞买申请，在报名期限内足额交纳竞买保证金，并提交报名资料电子档。竞买申请一经提交，即视为对交易规程、应急处置办法、出让公告、出让文件、其他相关文件、采矿权现状等无异议，并对可能存在的风险完全接受。</w:t>
      </w:r>
    </w:p>
    <w:p>
      <w:pPr>
        <w:spacing w:line="360" w:lineRule="exact"/>
        <w:ind w:firstLine="420" w:firstLineChars="200"/>
        <w:rPr>
          <w:rFonts w:ascii="方正楷体_GBK" w:hAnsi="Times New Roman" w:eastAsia="方正楷体_GBK" w:cs="方正楷体_GBK"/>
          <w:color w:val="252525" w:themeColor="text1" w:themeTint="D9"/>
          <w:szCs w:val="21"/>
        </w:rPr>
      </w:pPr>
      <w:r>
        <w:rPr>
          <w:rFonts w:hint="eastAsia" w:ascii="方正楷体_GBK" w:hAnsi="Times New Roman" w:eastAsia="方正楷体_GBK" w:cs="方正楷体_GBK"/>
          <w:color w:val="252525" w:themeColor="text1" w:themeTint="D9"/>
          <w:szCs w:val="21"/>
        </w:rPr>
        <w:t>（五）保证金的交纳及相关规定</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1.竞买保证金由申请人自行支付，不得代交。</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申请人在重庆市国有建设用地使用权和矿业权网上交易系统提交竞买申请后，系统自动随机生成唯一的保证金账号。申请人应在报名期限内，将竞买保证金交入随机生成的保证金账号。联合竞买的应在交纳保证金前约定由一家单位或各自按比例向保证金账号支付，确保足额交纳保证金。</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申请人每次提交竞买申请及交纳竞买保证金只对应一宗采矿权，如申请人同时竞买多宗采矿权的，应分别提交申请并按时足额交纳竞买保证金。</w:t>
      </w:r>
    </w:p>
    <w:p>
      <w:pPr>
        <w:wordWrap w:val="0"/>
        <w:topLinePunct/>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3.申请人应于报名期限内交纳竞买保证金人民币36.235</w:t>
      </w:r>
      <w:r>
        <w:rPr>
          <w:rFonts w:hint="eastAsia" w:ascii="Times New Roman" w:hAnsi="Times New Roman" w:eastAsia="方正仿宋_GBK" w:cs="Times New Roman"/>
          <w:color w:val="252525" w:themeColor="text1" w:themeTint="D9"/>
          <w:szCs w:val="21"/>
        </w:rPr>
        <w:t>万元</w:t>
      </w:r>
      <w:r>
        <w:rPr>
          <w:rFonts w:ascii="Times New Roman" w:hAnsi="Times New Roman" w:eastAsia="方正仿宋_GBK" w:cs="Times New Roman"/>
          <w:color w:val="252525" w:themeColor="text1" w:themeTint="D9"/>
          <w:szCs w:val="21"/>
        </w:rPr>
        <w:t>（大写</w:t>
      </w:r>
      <w:r>
        <w:rPr>
          <w:rFonts w:hint="eastAsia" w:ascii="Times New Roman" w:hAnsi="Times New Roman" w:eastAsia="方正仿宋_GBK" w:cs="Times New Roman"/>
          <w:color w:val="252525" w:themeColor="text1" w:themeTint="D9"/>
          <w:szCs w:val="21"/>
        </w:rPr>
        <w:t>：</w:t>
      </w:r>
      <w:r>
        <w:rPr>
          <w:rFonts w:ascii="Times New Roman" w:hAnsi="Times New Roman" w:eastAsia="方正仿宋_GBK" w:cs="Times New Roman"/>
          <w:color w:val="252525" w:themeColor="text1" w:themeTint="D9"/>
          <w:szCs w:val="21"/>
        </w:rPr>
        <w:t>叁拾陆万贰仟叁佰伍拾元整），竞买保证金交纳时间以银行确认的到账时间为准。竞买保证金到账截止时间为：202</w:t>
      </w:r>
      <w:r>
        <w:rPr>
          <w:rFonts w:hint="eastAsia" w:ascii="Times New Roman" w:hAnsi="Times New Roman" w:eastAsia="方正仿宋_GBK" w:cs="Times New Roman"/>
          <w:color w:val="252525" w:themeColor="text1" w:themeTint="D9"/>
          <w:szCs w:val="21"/>
        </w:rPr>
        <w:t>5</w:t>
      </w:r>
      <w:r>
        <w:rPr>
          <w:rFonts w:ascii="Times New Roman" w:hAnsi="Times New Roman" w:eastAsia="方正仿宋_GBK" w:cs="Times New Roman"/>
          <w:color w:val="252525" w:themeColor="text1" w:themeTint="D9"/>
          <w:szCs w:val="21"/>
        </w:rPr>
        <w:t>年</w:t>
      </w:r>
      <w:r>
        <w:rPr>
          <w:rFonts w:hint="eastAsia" w:ascii="Times New Roman" w:hAnsi="Times New Roman" w:eastAsia="方正仿宋_GBK" w:cs="Times New Roman"/>
          <w:color w:val="252525" w:themeColor="text1" w:themeTint="D9"/>
          <w:szCs w:val="21"/>
        </w:rPr>
        <w:t>4</w:t>
      </w:r>
      <w:r>
        <w:rPr>
          <w:rFonts w:ascii="Times New Roman" w:hAnsi="Times New Roman" w:eastAsia="方正仿宋_GBK" w:cs="Times New Roman"/>
          <w:color w:val="252525" w:themeColor="text1" w:themeTint="D9"/>
          <w:szCs w:val="21"/>
        </w:rPr>
        <w:t>月</w:t>
      </w:r>
      <w:r>
        <w:rPr>
          <w:rFonts w:hint="eastAsia" w:ascii="Times New Roman" w:hAnsi="Times New Roman" w:eastAsia="方正仿宋_GBK" w:cs="Times New Roman"/>
          <w:color w:val="252525" w:themeColor="text1" w:themeTint="D9"/>
          <w:szCs w:val="21"/>
        </w:rPr>
        <w:t>11</w:t>
      </w:r>
      <w:r>
        <w:rPr>
          <w:rFonts w:ascii="Times New Roman" w:hAnsi="Times New Roman" w:eastAsia="方正仿宋_GBK" w:cs="Times New Roman"/>
          <w:color w:val="252525" w:themeColor="text1" w:themeTint="D9"/>
          <w:szCs w:val="21"/>
        </w:rPr>
        <w:t>日</w:t>
      </w:r>
      <w:r>
        <w:rPr>
          <w:rFonts w:hint="eastAsia" w:ascii="Times New Roman" w:hAnsi="Times New Roman" w:eastAsia="方正仿宋_GBK" w:cs="Times New Roman"/>
          <w:color w:val="252525" w:themeColor="text1" w:themeTint="D9"/>
          <w:szCs w:val="21"/>
        </w:rPr>
        <w:t>17</w:t>
      </w:r>
      <w:r>
        <w:rPr>
          <w:rFonts w:ascii="Times New Roman" w:hAnsi="Times New Roman" w:eastAsia="方正仿宋_GBK" w:cs="Times New Roman"/>
          <w:color w:val="252525" w:themeColor="text1" w:themeTint="D9"/>
          <w:szCs w:val="21"/>
        </w:rPr>
        <w:t>:00</w:t>
      </w:r>
      <w:r>
        <w:rPr>
          <w:rFonts w:hint="eastAsia" w:ascii="Times New Roman" w:hAnsi="Times New Roman" w:eastAsia="方正仿宋_GBK" w:cs="Times New Roman"/>
          <w:color w:val="252525" w:themeColor="text1" w:themeTint="D9"/>
          <w:szCs w:val="21"/>
        </w:rPr>
        <w:t>时</w:t>
      </w:r>
      <w:r>
        <w:rPr>
          <w:rFonts w:ascii="Times New Roman" w:hAnsi="Times New Roman" w:eastAsia="方正仿宋_GBK" w:cs="Times New Roman"/>
          <w:color w:val="252525" w:themeColor="text1" w:themeTint="D9"/>
          <w:szCs w:val="21"/>
        </w:rPr>
        <w:t>。</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为避免因竞买保证金到账时间延误，影响申请人顺利获取交易竞买资格，建议申请人在报名期限截止时间的1日前交纳竞买保证金。</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4.保证金账户只接受银行转账或电汇方式，不接受现金或现金汇款。</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5.申请人在规定时间内足额交纳了竞买保证金至指定账户的（以保证金到达指定账户时间为准），重庆市国有建设用地使用权和矿业权网上交易系统将自动颁发《保证金到账确认书》。</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如成功竞得，已缴纳的保证金可抵作矿业权出让收益，在出让合同签订后由竞得人向矿产资源所在地的税务部门申报，竞买保证金账户管理单位在规定期限内代竞得人向税务部门缴款；如未竞得，在成交日之后1个工作日内退还保证金及银行同期活期存款利息。</w:t>
      </w:r>
    </w:p>
    <w:p>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方正楷体_GBK" w:hAnsi="Times New Roman" w:eastAsia="方正楷体_GBK" w:cs="Times New Roman"/>
          <w:color w:val="252525" w:themeColor="text1" w:themeTint="D9"/>
          <w:szCs w:val="21"/>
        </w:rPr>
        <w:t>（六）网上报名资格审核相关程序：</w:t>
      </w:r>
      <w:r>
        <w:rPr>
          <w:rFonts w:ascii="Times New Roman" w:hAnsi="Times New Roman" w:eastAsia="方正仿宋_GBK" w:cs="Times New Roman"/>
          <w:color w:val="252525" w:themeColor="text1" w:themeTint="D9"/>
          <w:szCs w:val="21"/>
        </w:rPr>
        <w:t>申请人在重庆市国有建设用地使用权和矿业权网上交易系统按规定递交竞买申请，并按时足额交纳竞买保证金后，申请人在重庆市国有建设用地使用权和矿业权网上交易系统提交报名资料电子档。报名资料审查通过的，获得竞买资格，可参与竞价；报名资料审查未通过的，申请人可在报名期限内补充报名资料或消除违约行为，重新提交申请。如最终仍不能获得竞买资格，则不能参与竞价，可办理保证金退还手续。</w:t>
      </w:r>
    </w:p>
    <w:p>
      <w:pPr>
        <w:spacing w:line="360" w:lineRule="exact"/>
        <w:ind w:firstLine="420" w:firstLineChars="200"/>
        <w:rPr>
          <w:rFonts w:ascii="方正黑体_GBK" w:hAnsi="Times New Roman" w:eastAsia="方正黑体_GBK" w:cs="Times New Roman"/>
          <w:color w:val="252525" w:themeColor="text1" w:themeTint="D9"/>
          <w:kern w:val="0"/>
          <w:szCs w:val="21"/>
        </w:rPr>
      </w:pPr>
      <w:r>
        <w:rPr>
          <w:rFonts w:hint="eastAsia" w:ascii="方正黑体_GBK" w:hAnsi="Times New Roman" w:eastAsia="方正黑体_GBK" w:cs="Times New Roman"/>
          <w:color w:val="252525" w:themeColor="text1" w:themeTint="D9"/>
          <w:kern w:val="0"/>
          <w:szCs w:val="21"/>
        </w:rPr>
        <w:t>五、确定竞得人的标准和方法</w:t>
      </w:r>
    </w:p>
    <w:p>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方正楷体_GBK" w:hAnsi="Times New Roman" w:eastAsia="方正楷体_GBK" w:cs="Times New Roman"/>
          <w:color w:val="252525" w:themeColor="text1" w:themeTint="D9"/>
          <w:szCs w:val="21"/>
        </w:rPr>
        <w:t>（一）网上</w:t>
      </w:r>
      <w:r>
        <w:rPr>
          <w:rFonts w:hint="eastAsia" w:ascii="方正楷体_GBK" w:hAnsi="Times New Roman" w:eastAsia="方正楷体_GBK" w:cs="Times New Roman"/>
          <w:color w:val="252525" w:themeColor="text1" w:themeTint="D9"/>
          <w:kern w:val="0"/>
          <w:szCs w:val="21"/>
        </w:rPr>
        <w:t>拍卖时间：</w:t>
      </w:r>
      <w:r>
        <w:rPr>
          <w:rFonts w:ascii="Times New Roman" w:hAnsi="Times New Roman" w:eastAsia="方正仿宋_GBK" w:cs="Times New Roman"/>
          <w:color w:val="252525" w:themeColor="text1" w:themeTint="D9"/>
          <w:szCs w:val="21"/>
        </w:rPr>
        <w:t>2025年</w:t>
      </w:r>
      <w:r>
        <w:rPr>
          <w:rFonts w:hint="eastAsia" w:ascii="Times New Roman" w:hAnsi="Times New Roman" w:eastAsia="方正仿宋_GBK" w:cs="Times New Roman"/>
          <w:color w:val="252525" w:themeColor="text1" w:themeTint="D9"/>
          <w:szCs w:val="21"/>
        </w:rPr>
        <w:t>4</w:t>
      </w:r>
      <w:r>
        <w:rPr>
          <w:rFonts w:ascii="Times New Roman" w:hAnsi="Times New Roman" w:eastAsia="方正仿宋_GBK" w:cs="Times New Roman"/>
          <w:color w:val="252525" w:themeColor="text1" w:themeTint="D9"/>
          <w:szCs w:val="21"/>
        </w:rPr>
        <w:t>月</w:t>
      </w:r>
      <w:r>
        <w:rPr>
          <w:rFonts w:hint="eastAsia" w:ascii="Times New Roman" w:hAnsi="Times New Roman" w:eastAsia="方正仿宋_GBK" w:cs="Times New Roman"/>
          <w:color w:val="252525" w:themeColor="text1" w:themeTint="D9"/>
          <w:szCs w:val="21"/>
        </w:rPr>
        <w:t>14</w:t>
      </w:r>
      <w:r>
        <w:rPr>
          <w:rFonts w:ascii="Times New Roman" w:hAnsi="Times New Roman" w:eastAsia="方正仿宋_GBK" w:cs="Times New Roman"/>
          <w:color w:val="252525" w:themeColor="text1" w:themeTint="D9"/>
          <w:szCs w:val="21"/>
        </w:rPr>
        <w:t>日</w:t>
      </w:r>
      <w:r>
        <w:rPr>
          <w:rFonts w:hint="eastAsia" w:ascii="Times New Roman" w:hAnsi="Times New Roman" w:eastAsia="方正仿宋_GBK" w:cs="Times New Roman"/>
          <w:color w:val="252525" w:themeColor="text1" w:themeTint="D9"/>
          <w:szCs w:val="21"/>
        </w:rPr>
        <w:t>10:00</w:t>
      </w:r>
      <w:r>
        <w:rPr>
          <w:rFonts w:ascii="Times New Roman" w:hAnsi="Times New Roman" w:eastAsia="方正仿宋_GBK" w:cs="Times New Roman"/>
          <w:color w:val="252525" w:themeColor="text1" w:themeTint="D9"/>
          <w:szCs w:val="21"/>
        </w:rPr>
        <w:t>时</w:t>
      </w:r>
      <w:r>
        <w:rPr>
          <w:rFonts w:hint="eastAsia" w:ascii="Times New Roman" w:hAnsi="Times New Roman" w:eastAsia="方正仿宋_GBK" w:cs="Times New Roman"/>
          <w:color w:val="252525" w:themeColor="text1" w:themeTint="D9"/>
          <w:szCs w:val="21"/>
        </w:rPr>
        <w:t>。</w:t>
      </w:r>
    </w:p>
    <w:p>
      <w:pPr>
        <w:spacing w:line="360" w:lineRule="exact"/>
        <w:ind w:firstLine="420" w:firstLineChars="200"/>
        <w:rPr>
          <w:rFonts w:ascii="Times New Roman" w:hAnsi="Times New Roman" w:eastAsia="方正楷体_GBK" w:cs="Times New Roman"/>
          <w:color w:val="252525" w:themeColor="text1" w:themeTint="D9"/>
          <w:szCs w:val="21"/>
        </w:rPr>
      </w:pPr>
      <w:r>
        <w:rPr>
          <w:rFonts w:hint="eastAsia" w:ascii="方正楷体_GBK" w:hAnsi="Times New Roman" w:eastAsia="方正楷体_GBK" w:cs="Times New Roman"/>
          <w:color w:val="252525" w:themeColor="text1" w:themeTint="D9"/>
          <w:szCs w:val="21"/>
        </w:rPr>
        <w:t>（二）网上拍卖交易：</w:t>
      </w:r>
    </w:p>
    <w:p>
      <w:pPr>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szCs w:val="21"/>
        </w:rPr>
        <w:t>1.本次网上拍卖出让未设置底价，采用网上增价报</w:t>
      </w:r>
      <w:r>
        <w:rPr>
          <w:rFonts w:ascii="Times New Roman" w:hAnsi="Times New Roman" w:eastAsia="方正仿宋_GBK" w:cs="Times New Roman"/>
          <w:color w:val="252525" w:themeColor="text1" w:themeTint="D9"/>
          <w:kern w:val="0"/>
          <w:szCs w:val="21"/>
        </w:rPr>
        <w:t>价的方式，</w:t>
      </w:r>
      <w:r>
        <w:rPr>
          <w:rFonts w:ascii="Times New Roman" w:hAnsi="Times New Roman" w:eastAsia="方正仿宋_GBK" w:cs="Times New Roman"/>
          <w:color w:val="252525" w:themeColor="text1" w:themeTint="D9"/>
          <w:szCs w:val="21"/>
        </w:rPr>
        <w:t>起拍价为出让收益起始价，</w:t>
      </w:r>
      <w:r>
        <w:rPr>
          <w:rFonts w:ascii="Times New Roman" w:hAnsi="Times New Roman" w:eastAsia="方正仿宋_GBK" w:cs="Times New Roman"/>
          <w:color w:val="252525" w:themeColor="text1" w:themeTint="D9"/>
          <w:kern w:val="0"/>
          <w:szCs w:val="21"/>
        </w:rPr>
        <w:t>增</w:t>
      </w:r>
      <w:r>
        <w:rPr>
          <w:rFonts w:hint="eastAsia" w:ascii="Times New Roman" w:hAnsi="Times New Roman" w:eastAsia="方正仿宋_GBK" w:cs="Times New Roman"/>
          <w:color w:val="252525" w:themeColor="text1" w:themeTint="D9"/>
          <w:kern w:val="0"/>
          <w:szCs w:val="21"/>
        </w:rPr>
        <w:t>加</w:t>
      </w:r>
      <w:r>
        <w:rPr>
          <w:rFonts w:ascii="Times New Roman" w:hAnsi="Times New Roman" w:eastAsia="方正仿宋_GBK" w:cs="Times New Roman"/>
          <w:color w:val="252525" w:themeColor="text1" w:themeTint="D9"/>
          <w:kern w:val="0"/>
          <w:szCs w:val="21"/>
        </w:rPr>
        <w:t>幅度为</w:t>
      </w:r>
      <w:r>
        <w:rPr>
          <w:rFonts w:hint="eastAsia" w:ascii="Times New Roman" w:hAnsi="Times New Roman" w:eastAsia="方正仿宋_GBK" w:cs="Times New Roman"/>
          <w:color w:val="252525" w:themeColor="text1" w:themeTint="D9"/>
          <w:kern w:val="0"/>
          <w:szCs w:val="21"/>
        </w:rPr>
        <w:t>1</w:t>
      </w:r>
      <w:r>
        <w:rPr>
          <w:rFonts w:ascii="Times New Roman" w:hAnsi="Times New Roman" w:eastAsia="方正仿宋_GBK" w:cs="Times New Roman"/>
          <w:color w:val="252525" w:themeColor="text1" w:themeTint="D9"/>
          <w:kern w:val="0"/>
          <w:szCs w:val="21"/>
        </w:rPr>
        <w:t>万元或</w:t>
      </w:r>
      <w:r>
        <w:rPr>
          <w:rFonts w:hint="eastAsia" w:ascii="Times New Roman" w:hAnsi="Times New Roman" w:eastAsia="方正仿宋_GBK" w:cs="Times New Roman"/>
          <w:color w:val="252525" w:themeColor="text1" w:themeTint="D9"/>
          <w:kern w:val="0"/>
          <w:szCs w:val="21"/>
        </w:rPr>
        <w:t>1</w:t>
      </w:r>
      <w:r>
        <w:rPr>
          <w:rFonts w:ascii="Times New Roman" w:hAnsi="Times New Roman" w:eastAsia="方正仿宋_GBK" w:cs="Times New Roman"/>
          <w:color w:val="252525" w:themeColor="text1" w:themeTint="D9"/>
          <w:kern w:val="0"/>
          <w:szCs w:val="21"/>
        </w:rPr>
        <w:t>万元的整数倍，按照价高者得原则确定竞得人。</w:t>
      </w:r>
    </w:p>
    <w:p>
      <w:pPr>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2.获得竞买资格的竞买人通过网上交易系统进行竞价。竞买人应当谨慎报价，报价一经提交，不得修改或撤回。</w:t>
      </w:r>
    </w:p>
    <w:p>
      <w:pPr>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3.网上拍卖时，网上交易系统以4分钟倒计时为竞价时限，若在4分钟倒计时内有新的报价，网上交易系统即从接受新的报价起再重新倒计时。若拍卖开始后，首个4分钟倒计时内均无人报价，则网上拍卖终止，采矿权不成交。</w:t>
      </w:r>
    </w:p>
    <w:p>
      <w:pPr>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4.4分钟倒计时截止，网上交易系统将不再接受新的报价，以最后一次报价为最终报价，网上交易系统自动判断竞价是否成功。</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kern w:val="0"/>
          <w:szCs w:val="21"/>
        </w:rPr>
        <w:t>5.网上拍卖结束时，网上交易系统将自动关闭报价通道，并公布竞价结果同时网上交易系统将向竞买人自动核发《竞得入选人通知书》</w:t>
      </w:r>
      <w:r>
        <w:rPr>
          <w:rFonts w:ascii="Times New Roman" w:hAnsi="Times New Roman" w:eastAsia="方正仿宋_GBK" w:cs="Times New Roman"/>
          <w:color w:val="252525" w:themeColor="text1" w:themeTint="D9"/>
          <w:szCs w:val="21"/>
        </w:rPr>
        <w:t>。</w:t>
      </w:r>
    </w:p>
    <w:p>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方正楷体_GBK" w:hAnsi="Times New Roman" w:eastAsia="方正楷体_GBK" w:cs="Times New Roman"/>
          <w:color w:val="252525" w:themeColor="text1" w:themeTint="D9"/>
          <w:szCs w:val="21"/>
        </w:rPr>
        <w:t>（三）成交确认书签订：</w:t>
      </w:r>
      <w:r>
        <w:rPr>
          <w:rFonts w:ascii="Times New Roman" w:hAnsi="Times New Roman" w:eastAsia="方正仿宋_GBK" w:cs="Times New Roman"/>
          <w:color w:val="252525" w:themeColor="text1" w:themeTint="D9"/>
          <w:szCs w:val="21"/>
        </w:rPr>
        <w:t>该宗采矿权网上交易实行竞买资格前审制度，竞得入选人须在竞价完成后2个工作日内持《</w:t>
      </w:r>
      <w:r>
        <w:rPr>
          <w:rFonts w:ascii="Times New Roman" w:hAnsi="Times New Roman" w:eastAsia="方正仿宋_GBK" w:cs="Times New Roman"/>
          <w:color w:val="252525" w:themeColor="text1" w:themeTint="D9"/>
          <w:kern w:val="0"/>
          <w:szCs w:val="21"/>
        </w:rPr>
        <w:t>竞得入选人通知书</w:t>
      </w:r>
      <w:r>
        <w:rPr>
          <w:rFonts w:ascii="Times New Roman" w:hAnsi="Times New Roman" w:eastAsia="方正仿宋_GBK" w:cs="Times New Roman"/>
          <w:color w:val="252525" w:themeColor="text1" w:themeTint="D9"/>
          <w:szCs w:val="21"/>
        </w:rPr>
        <w:t>》及报名资料纸质件与重庆市公共资源交易中心签订《采矿权出让成交确认书》。</w:t>
      </w:r>
    </w:p>
    <w:p>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方正楷体_GBK" w:hAnsi="Times New Roman" w:eastAsia="方正楷体_GBK" w:cs="Times New Roman"/>
          <w:color w:val="252525" w:themeColor="text1" w:themeTint="D9"/>
          <w:kern w:val="0"/>
          <w:szCs w:val="21"/>
        </w:rPr>
        <w:t>（四）成交公示：</w:t>
      </w:r>
      <w:r>
        <w:rPr>
          <w:rFonts w:ascii="Times New Roman" w:hAnsi="Times New Roman" w:eastAsia="方正仿宋_GBK" w:cs="Times New Roman"/>
          <w:color w:val="252525" w:themeColor="text1" w:themeTint="D9"/>
          <w:kern w:val="0"/>
          <w:szCs w:val="21"/>
        </w:rPr>
        <w:t>拍卖成交后</w:t>
      </w:r>
      <w:r>
        <w:rPr>
          <w:rFonts w:ascii="Times New Roman" w:hAnsi="Times New Roman" w:eastAsia="方正仿宋_GBK" w:cs="Times New Roman"/>
          <w:color w:val="252525" w:themeColor="text1" w:themeTint="D9"/>
          <w:szCs w:val="21"/>
        </w:rPr>
        <w:t>的竞得人按规定即时签订《成交确认书》，成交结果在相关网站公示10个工作日。</w:t>
      </w:r>
    </w:p>
    <w:p>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方正楷体_GBK" w:hAnsi="Times New Roman" w:eastAsia="方正楷体_GBK" w:cs="Times New Roman"/>
          <w:color w:val="252525" w:themeColor="text1" w:themeTint="D9"/>
          <w:szCs w:val="21"/>
        </w:rPr>
        <w:t>（五）网上拍卖程序及竞得方式按照《中华人民共和国拍卖法》及重庆市有关规定执行。</w:t>
      </w:r>
      <w:r>
        <w:rPr>
          <w:rFonts w:ascii="Times New Roman" w:hAnsi="Times New Roman" w:eastAsia="方正仿宋_GBK" w:cs="Times New Roman"/>
          <w:color w:val="252525" w:themeColor="text1" w:themeTint="D9"/>
          <w:szCs w:val="21"/>
        </w:rPr>
        <w:t>如在拍卖程序中，本采矿权因监管部门要求需终止交易行为的，在告知竞买人后，退还采矿权竞买人已交纳的竞买保证金。</w:t>
      </w:r>
    </w:p>
    <w:p>
      <w:pPr>
        <w:spacing w:line="360" w:lineRule="exact"/>
        <w:ind w:firstLine="420" w:firstLineChars="200"/>
        <w:rPr>
          <w:rFonts w:ascii="方正黑体_GBK" w:hAnsi="Times New Roman" w:eastAsia="方正黑体_GBK" w:cs="Times New Roman"/>
          <w:color w:val="252525" w:themeColor="text1" w:themeTint="D9"/>
          <w:kern w:val="0"/>
          <w:szCs w:val="21"/>
        </w:rPr>
      </w:pPr>
      <w:r>
        <w:rPr>
          <w:rFonts w:hint="eastAsia" w:ascii="方正黑体_GBK" w:hAnsi="Times New Roman" w:eastAsia="方正黑体_GBK" w:cs="Times New Roman"/>
          <w:color w:val="252525" w:themeColor="text1" w:themeTint="D9"/>
          <w:kern w:val="0"/>
          <w:szCs w:val="21"/>
        </w:rPr>
        <w:t>六、出让收益的缴纳</w:t>
      </w:r>
    </w:p>
    <w:p>
      <w:pPr>
        <w:spacing w:line="360" w:lineRule="exact"/>
        <w:ind w:firstLine="417" w:firstLineChars="199"/>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该宗采矿权按照出让金额形式征收出让收益，出让收益首次征收比例为10%，竞得人自愿一次性缴清的除外；剩余部分在采矿许可证有效期届满前按年度分期缴清，竞得人自愿减少分期缴纳年限的除外。</w:t>
      </w:r>
    </w:p>
    <w:p>
      <w:pPr>
        <w:spacing w:line="360" w:lineRule="exact"/>
        <w:ind w:firstLine="417" w:firstLineChars="199"/>
        <w:rPr>
          <w:rFonts w:ascii="Times New Roman" w:hAnsi="Times New Roman" w:eastAsia="方正仿宋_GBK" w:cs="Times New Roman"/>
          <w:color w:val="252525" w:themeColor="text1" w:themeTint="D9"/>
          <w:szCs w:val="21"/>
        </w:rPr>
      </w:pPr>
      <w:r>
        <w:rPr>
          <w:rFonts w:hint="eastAsia" w:ascii="Times New Roman" w:hAnsi="Times New Roman" w:eastAsia="方正仿宋_GBK" w:cs="Times New Roman"/>
          <w:color w:val="252525" w:themeColor="text1" w:themeTint="D9"/>
          <w:szCs w:val="21"/>
        </w:rPr>
        <w:t>一次性缴纳和分期缴纳出让收益仅为缴款方式的选择，与采矿权人是否动用或实际动用资源储量无关，合同生效后，缴纳全部出让收益为采矿权人的义务。</w:t>
      </w:r>
    </w:p>
    <w:p>
      <w:pPr>
        <w:spacing w:line="360" w:lineRule="exact"/>
        <w:ind w:firstLine="420" w:firstLineChars="200"/>
        <w:rPr>
          <w:rFonts w:ascii="方正黑体_GBK" w:hAnsi="Times New Roman" w:eastAsia="方正黑体_GBK" w:cs="Times New Roman"/>
          <w:color w:val="252525" w:themeColor="text1" w:themeTint="D9"/>
          <w:kern w:val="0"/>
          <w:szCs w:val="21"/>
        </w:rPr>
      </w:pPr>
      <w:r>
        <w:rPr>
          <w:rFonts w:hint="eastAsia" w:ascii="方正黑体_GBK" w:hAnsi="Times New Roman" w:eastAsia="方正黑体_GBK" w:cs="Times New Roman"/>
          <w:color w:val="252525" w:themeColor="text1" w:themeTint="D9"/>
          <w:kern w:val="0"/>
          <w:szCs w:val="21"/>
        </w:rPr>
        <w:t>七、风险提示</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一）采矿权投资存在有不可预计的风险，包括出让文件所表述的有关矿产资源情况（矿层厚度、矿石质量、储量等）与实际开采有差距的风险，包括但不限于安全、地质灾害防治、环境保护等要求、对特定采矿方法、选矿方法限制以及国家产业政策或者矿产资源规划调整的影响、不可抗力的影响等风险。竞买申请人参加竞买并提交申请，即视为竞买申请人对</w:t>
      </w:r>
      <w:r>
        <w:rPr>
          <w:rFonts w:hint="eastAsia" w:ascii="Times New Roman" w:hAnsi="Times New Roman" w:eastAsia="方正仿宋_GBK" w:cs="Times New Roman"/>
          <w:color w:val="252525" w:themeColor="text1" w:themeTint="D9"/>
          <w:szCs w:val="21"/>
        </w:rPr>
        <w:t>拟出让</w:t>
      </w:r>
      <w:r>
        <w:rPr>
          <w:rFonts w:ascii="Times New Roman" w:hAnsi="Times New Roman" w:eastAsia="方正仿宋_GBK" w:cs="Times New Roman"/>
          <w:color w:val="252525" w:themeColor="text1" w:themeTint="D9"/>
          <w:szCs w:val="21"/>
        </w:rPr>
        <w:t>采矿权现状和出让文件已完全认可并自愿承担所有风险。</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（二）有关该宗采矿权的用地、用水、用电、公路、环保、基础设施等工作，由竞得人自行负责解决并依法完善相关手续。</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（三）若竞得人竞得该宗采矿权后，在办理采矿登记前进行安全、环境评价等认定为不适宜开采的，该宗采矿权按不成交处理。</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（四）网络安全风险提示。申请人或竞得人网上报名行为所产生的法律后果，由申请人或竞得人自行承担。</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1.操作系统请使用Win10及以上；浏览器请使用Edge浏览器，其它操作系统与浏览器可能会影响申请人正常参与网上报名活动。因浏览器使用不当引致的后果由申请人自行承担；</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2.申请人应妥善保管数字证书及其密码，凡在互联网使用数字证书登录交易系统所实施的行为，视为申请人的真实意思表示或经过申请人的合法授权，行为所产生的法律后果及责任由申请人自行承担。</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因网上交易系统出现故障，造成采矿权网上交易出现异常情况的，按照《重庆市国有建设用地使用权和矿业权网上交易应急处置暂行规定》的有关规定进行处置。</w:t>
      </w:r>
    </w:p>
    <w:p>
      <w:pPr>
        <w:spacing w:line="360" w:lineRule="exact"/>
        <w:ind w:firstLine="420" w:firstLineChars="200"/>
        <w:rPr>
          <w:rFonts w:ascii="方正黑体_GBK" w:hAnsi="Times New Roman" w:eastAsia="方正黑体_GBK" w:cs="Times New Roman"/>
          <w:color w:val="252525" w:themeColor="text1" w:themeTint="D9"/>
          <w:kern w:val="0"/>
          <w:szCs w:val="21"/>
        </w:rPr>
      </w:pPr>
      <w:r>
        <w:rPr>
          <w:rFonts w:hint="eastAsia" w:ascii="方正黑体_GBK" w:hAnsi="Times New Roman" w:eastAsia="方正黑体_GBK" w:cs="Times New Roman"/>
          <w:color w:val="252525" w:themeColor="text1" w:themeTint="D9"/>
          <w:kern w:val="0"/>
          <w:szCs w:val="21"/>
        </w:rPr>
        <w:t>八、违约责任、公共资源交易领域失信联合惩戒相关提示</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一）对违反公共资源交易法律法规，违背诚实信用原则的竞买人，将按照《关于对公共资源领域严重失信主体开展联合惩戒备忘录》（发改法规〔2018〕457号）的规定，对相关失信企业和失信个人实施联合惩戒并按照公告约定承担相应的违约责任。</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（二）有下列情形之一的，视为竞买人、竞得人违约，竞得结果无效，并将其列入失信联合惩戒名单、竞买保证金不予退还，出让方有权不再签订出让合同或解除合同：</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1.竞买人之间串通报价，损害国家利益、社会公共利益或者他人合法权益的；</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2.竞买人弄虚作假，骗取交易资格或竞得的；</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3.采取行贿或其他不正当手段竞得的；</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4.竞得人逾期不签订或者拒绝签订成交确认书的；</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5.竞得人逾期不签订或者拒绝签订出让合同的；</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6.其他依法应当认定为违约的情形。</w:t>
      </w:r>
    </w:p>
    <w:p>
      <w:pPr>
        <w:spacing w:line="360" w:lineRule="exact"/>
        <w:ind w:firstLine="420" w:firstLineChars="200"/>
        <w:rPr>
          <w:rFonts w:ascii="方正黑体_GBK" w:hAnsi="Times New Roman" w:eastAsia="方正黑体_GBK" w:cs="Times New Roman"/>
          <w:color w:val="252525" w:themeColor="text1" w:themeTint="D9"/>
          <w:kern w:val="0"/>
          <w:szCs w:val="21"/>
        </w:rPr>
      </w:pPr>
      <w:r>
        <w:rPr>
          <w:rFonts w:hint="eastAsia" w:ascii="方正黑体_GBK" w:hAnsi="Times New Roman" w:eastAsia="方正黑体_GBK" w:cs="Times New Roman"/>
          <w:color w:val="252525" w:themeColor="text1" w:themeTint="D9"/>
          <w:kern w:val="0"/>
          <w:szCs w:val="21"/>
        </w:rPr>
        <w:t>九、出让合同签订事宜说明</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竞得人应在取得成交确认书后的15个工作日内，持成交确认书、合同签订申请书及其他相关资料向出让人申请签订《重庆市采矿权出让合同》。成交结果公示期满无异议的，竞得人应于取得成交确认书后的30个工作日内与出让人完成合同签订。若逾期未申请或拒不完成合同签订的，则视为竞得人自动放弃竞得资格，出让人不予退还竞买保证金并有权另行出让该宗采矿权。合同签订申请资料如下：</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1.采矿权出让合同签订申请书（原件1份）；</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2.采矿权成交确认书（复印件1份）；</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3.工商营业执照副本（复印件1份）；</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4.法人身份证明（复印件1份）；</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5.法人不能亲自办理的应提供《授权委托书》（原件1份）；</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6.受托人身份证明（复印件1份）；</w:t>
      </w:r>
    </w:p>
    <w:p>
      <w:pPr>
        <w:spacing w:line="360" w:lineRule="exact"/>
        <w:ind w:firstLine="420" w:firstLineChars="200"/>
        <w:rPr>
          <w:rFonts w:ascii="Times New Roman" w:hAnsi="Times New Roman" w:eastAsia="方正仿宋_GBK" w:cs="Times New Roman"/>
          <w:b/>
          <w:bCs/>
          <w:color w:val="252525" w:themeColor="text1" w:themeTint="D9"/>
          <w:szCs w:val="21"/>
        </w:rPr>
      </w:pPr>
      <w:r>
        <w:rPr>
          <w:rFonts w:ascii="Times New Roman" w:hAnsi="Times New Roman" w:eastAsia="方正仿宋_GBK" w:cs="Times New Roman"/>
          <w:color w:val="252525" w:themeColor="text1" w:themeTint="D9"/>
          <w:szCs w:val="21"/>
        </w:rPr>
        <w:t>7.按照成交结果完善的《重庆市采矿权出让合同》签章件6份（原件）。</w:t>
      </w:r>
    </w:p>
    <w:p>
      <w:pPr>
        <w:spacing w:line="360" w:lineRule="exact"/>
        <w:ind w:firstLine="420" w:firstLineChars="200"/>
        <w:rPr>
          <w:rFonts w:ascii="方正黑体_GBK" w:hAnsi="Times New Roman" w:eastAsia="方正黑体_GBK" w:cs="Times New Roman"/>
          <w:color w:val="252525" w:themeColor="text1" w:themeTint="D9"/>
          <w:kern w:val="0"/>
          <w:szCs w:val="21"/>
        </w:rPr>
      </w:pPr>
      <w:r>
        <w:rPr>
          <w:rFonts w:hint="eastAsia" w:ascii="方正黑体_GBK" w:hAnsi="Times New Roman" w:eastAsia="方正黑体_GBK" w:cs="Times New Roman"/>
          <w:color w:val="252525" w:themeColor="text1" w:themeTint="D9"/>
          <w:kern w:val="0"/>
          <w:szCs w:val="21"/>
        </w:rPr>
        <w:t>十、对交易矿业权异议的处理方式</w:t>
      </w:r>
    </w:p>
    <w:p>
      <w:pPr>
        <w:spacing w:line="360" w:lineRule="exact"/>
        <w:ind w:firstLine="420" w:firstLineChars="200"/>
        <w:rPr>
          <w:rFonts w:ascii="Times New Roman" w:hAnsi="Times New Roman" w:eastAsia="方正仿宋_GBK" w:cs="Times New Roman"/>
          <w:color w:val="252525" w:themeColor="text1" w:themeTint="D9"/>
          <w:szCs w:val="21"/>
          <w:highlight w:val="yellow"/>
        </w:rPr>
      </w:pPr>
      <w:r>
        <w:rPr>
          <w:rFonts w:ascii="Times New Roman" w:hAnsi="Times New Roman" w:eastAsia="方正仿宋_GBK" w:cs="Times New Roman"/>
          <w:color w:val="252525" w:themeColor="text1" w:themeTint="D9"/>
          <w:szCs w:val="21"/>
        </w:rPr>
        <w:t>对本次出让的采矿权存有异议的，应在</w:t>
      </w:r>
      <w:r>
        <w:rPr>
          <w:rFonts w:hint="eastAsia" w:ascii="Times New Roman" w:hAnsi="Times New Roman" w:eastAsia="方正仿宋_GBK" w:cs="Times New Roman"/>
          <w:color w:val="252525" w:themeColor="text1" w:themeTint="D9"/>
          <w:szCs w:val="21"/>
        </w:rPr>
        <w:t>采矿权出让</w:t>
      </w:r>
      <w:r>
        <w:rPr>
          <w:rFonts w:ascii="Times New Roman" w:hAnsi="Times New Roman" w:eastAsia="方正仿宋_GBK" w:cs="Times New Roman"/>
          <w:color w:val="252525" w:themeColor="text1" w:themeTint="D9"/>
          <w:szCs w:val="21"/>
        </w:rPr>
        <w:t>公告期截止前以书面方式向</w:t>
      </w:r>
      <w:r>
        <w:rPr>
          <w:rFonts w:hint="eastAsia" w:ascii="Times New Roman" w:hAnsi="Times New Roman" w:eastAsia="方正仿宋_GBK" w:cs="Times New Roman"/>
          <w:color w:val="252525" w:themeColor="text1" w:themeTint="D9"/>
          <w:szCs w:val="21"/>
        </w:rPr>
        <w:t>重庆市</w:t>
      </w:r>
      <w:r>
        <w:rPr>
          <w:rFonts w:ascii="Times New Roman" w:hAnsi="Times New Roman" w:eastAsia="方正仿宋_GBK" w:cs="Times New Roman"/>
          <w:color w:val="252525" w:themeColor="text1" w:themeTint="D9"/>
          <w:szCs w:val="21"/>
        </w:rPr>
        <w:t>南川区规划和自然资源局提出（联系人：王老师，联系电话：023-71420530）。根据所提异议的具体情况，按照《矿业权出让交易规则》（自然资规〔2023〕1号）等相关规定进行妥善处置。</w:t>
      </w:r>
    </w:p>
    <w:p>
      <w:pPr>
        <w:spacing w:line="360" w:lineRule="exact"/>
        <w:ind w:firstLine="420" w:firstLineChars="200"/>
        <w:rPr>
          <w:rFonts w:ascii="方正黑体_GBK" w:hAnsi="Times New Roman" w:eastAsia="方正黑体_GBK" w:cs="Times New Roman"/>
          <w:color w:val="252525" w:themeColor="text1" w:themeTint="D9"/>
          <w:kern w:val="0"/>
          <w:szCs w:val="21"/>
        </w:rPr>
      </w:pPr>
      <w:r>
        <w:rPr>
          <w:rFonts w:hint="eastAsia" w:ascii="方正黑体_GBK" w:hAnsi="Times New Roman" w:eastAsia="方正黑体_GBK" w:cs="Times New Roman"/>
          <w:color w:val="252525" w:themeColor="text1" w:themeTint="D9"/>
          <w:kern w:val="0"/>
          <w:szCs w:val="21"/>
        </w:rPr>
        <w:t>十一、交易中止或终止</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（一）有下列情形之一的，市公共资源交易中心将发布中止网上交易公告，并中止网上交易活动：</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1.公告公示期间发现出让的矿业权权属争议尚未解决的；</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2.竞得人有矿产资源违法行为的行政处罚逾期不履行的；</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3.因不可抗力或者政策变化应当中止交易的其他情形。</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（二）有下列情形之一的，市公共资源交易中心将发布终止网上交易公告，并终止网上交易活动：</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1.出让人因有关政策规定、矿业权出让所依据的客观情况等发生重大变化提出终止交易的；</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2.因不可抗力应当终止交易的；</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3.法律法规规定的其他情形。</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（三）依法应当中止或者终止网上交易活动的其他情形：</w:t>
      </w:r>
    </w:p>
    <w:p>
      <w:pPr>
        <w:spacing w:line="360" w:lineRule="exact"/>
        <w:ind w:firstLine="420" w:firstLineChars="200"/>
        <w:rPr>
          <w:rFonts w:ascii="Times New Roman" w:hAnsi="Times New Roman" w:eastAsia="方正仿宋_GBK" w:cs="Times New Roman"/>
          <w:szCs w:val="21"/>
        </w:rPr>
      </w:pPr>
      <w:r>
        <w:rPr>
          <w:rFonts w:ascii="Times New Roman" w:hAnsi="Times New Roman" w:eastAsia="方正仿宋_GBK" w:cs="Times New Roman"/>
          <w:szCs w:val="21"/>
        </w:rPr>
        <w:t>1.司法机关、监察机关依法要求中止或者终止网上交易活动的；</w:t>
      </w:r>
    </w:p>
    <w:p>
      <w:pPr>
        <w:spacing w:line="360" w:lineRule="exact"/>
        <w:ind w:firstLine="420" w:firstLineChars="200"/>
        <w:rPr>
          <w:rFonts w:ascii="Times New Roman" w:hAnsi="Times New Roman" w:eastAsia="方正仿宋_GBK" w:cs="Times New Roman"/>
          <w:szCs w:val="21"/>
        </w:rPr>
      </w:pPr>
      <w:r>
        <w:rPr>
          <w:rFonts w:ascii="Times New Roman" w:hAnsi="Times New Roman" w:eastAsia="方正仿宋_GBK" w:cs="Times New Roman"/>
          <w:szCs w:val="21"/>
        </w:rPr>
        <w:t>2.网上交易系统软、硬件故障，网上交易系统网络专线故障，网上交易CA认证系统故障，银行保证金交纳系统故障等，导致网上交易系统不能正常运行的；</w:t>
      </w:r>
    </w:p>
    <w:p>
      <w:pPr>
        <w:spacing w:line="360" w:lineRule="exact"/>
        <w:ind w:firstLine="420" w:firstLineChars="200"/>
        <w:rPr>
          <w:rFonts w:ascii="Times New Roman" w:hAnsi="Times New Roman" w:eastAsia="方正仿宋_GBK" w:cs="Times New Roman"/>
          <w:szCs w:val="21"/>
        </w:rPr>
      </w:pPr>
      <w:r>
        <w:rPr>
          <w:rFonts w:ascii="Times New Roman" w:hAnsi="Times New Roman" w:eastAsia="方正仿宋_GBK" w:cs="Times New Roman"/>
          <w:szCs w:val="21"/>
        </w:rPr>
        <w:t>3.因网络入侵等非可控因素，导致网上交易系统不能正常运行的。</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网上交易中止时间超过5日内不能恢复交易的，该项交易自动终止。竞买人交纳的竞买保证金全额退还。网上交易中止事项消除后，将及时在网上交易系统发布恢复网上交易公告，重新明确交易时间，恢复网上交易。交易中止前已取得竞买资格的，其竞买资格在本次交易期内（含中止交易期及恢复交易后）有效。</w:t>
      </w:r>
    </w:p>
    <w:p>
      <w:pPr>
        <w:spacing w:line="360" w:lineRule="exact"/>
        <w:ind w:firstLine="420" w:firstLineChars="200"/>
        <w:rPr>
          <w:rFonts w:ascii="方正黑体_GBK" w:hAnsi="Times New Roman" w:eastAsia="方正黑体_GBK" w:cs="Times New Roman"/>
          <w:color w:val="252525" w:themeColor="text1" w:themeTint="D9"/>
          <w:kern w:val="0"/>
          <w:szCs w:val="21"/>
        </w:rPr>
      </w:pPr>
      <w:r>
        <w:rPr>
          <w:rFonts w:hint="eastAsia" w:ascii="方正黑体_GBK" w:hAnsi="Times New Roman" w:eastAsia="方正黑体_GBK" w:cs="Times New Roman"/>
          <w:color w:val="252525" w:themeColor="text1" w:themeTint="D9"/>
          <w:kern w:val="0"/>
          <w:szCs w:val="21"/>
        </w:rPr>
        <w:t>十二、其他重要提示</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竞得人须按绿色矿山标准要求进行矿山规划、设计、建设和运营管理，确保矿山环境面貌、开发利用方式、资源节约集约利用、现代化矿山建设、矿地和谐和企业文化等各方面达到绿色矿山建设标准，并在矿山投产时同步完成绿色矿山建设。</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竞得人须自行或委托编制《矿山地质环境保护和土地复垦方案》并通过审查，同时按照《矿山地质环境保护规定》等相关文件履行矿山地质环境保护义务。矿山开采方式应符合区域生态建设与环境保护要求，做到资源分级利用，按照“边开采、边恢复”的原则，及时治理恢复矿山地质环境；设立矿山地质环境治理恢复基金账户，及时、足额预存矿山地质环境治理恢复基金，采矿权资源开采完毕或出让到期终止后按照要求进行治理恢复并通过验收。</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 按照相关要求，该采矿权实行“净矿”出让，</w:t>
      </w:r>
      <w:r>
        <w:rPr>
          <w:rFonts w:hint="eastAsia" w:ascii="Times New Roman" w:hAnsi="Times New Roman" w:eastAsia="方正仿宋_GBK" w:cs="Times New Roman"/>
          <w:color w:val="252525" w:themeColor="text1" w:themeTint="D9"/>
          <w:szCs w:val="21"/>
        </w:rPr>
        <w:t>矿区范围内所涉及流转费用</w:t>
      </w:r>
      <w:r>
        <w:rPr>
          <w:rFonts w:ascii="Times New Roman" w:hAnsi="Times New Roman" w:eastAsia="方正仿宋_GBK" w:cs="Times New Roman"/>
          <w:color w:val="252525" w:themeColor="text1" w:themeTint="D9"/>
          <w:szCs w:val="21"/>
        </w:rPr>
        <w:t>100万元</w:t>
      </w:r>
      <w:r>
        <w:rPr>
          <w:rFonts w:hint="eastAsia" w:ascii="Times New Roman" w:hAnsi="Times New Roman" w:eastAsia="方正仿宋_GBK" w:cs="Times New Roman"/>
          <w:color w:val="252525" w:themeColor="text1" w:themeTint="D9"/>
          <w:szCs w:val="21"/>
        </w:rPr>
        <w:t>，</w:t>
      </w:r>
      <w:r>
        <w:rPr>
          <w:rFonts w:hint="eastAsia" w:ascii="Times New Roman" w:hAnsi="Times New Roman" w:eastAsia="方正仿宋_GBK" w:cs="Times New Roman"/>
          <w:color w:val="252525" w:themeColor="text1" w:themeTint="D9"/>
          <w:szCs w:val="21"/>
          <w:lang w:val="en-US" w:eastAsia="zh-CN"/>
        </w:rPr>
        <w:t>在出让收益外单列</w:t>
      </w:r>
      <w:r>
        <w:rPr>
          <w:rFonts w:hint="eastAsia" w:ascii="Times New Roman" w:hAnsi="Times New Roman" w:eastAsia="方正仿宋_GBK" w:cs="Times New Roman"/>
          <w:color w:val="252525" w:themeColor="text1" w:themeTint="D9"/>
          <w:szCs w:val="21"/>
        </w:rPr>
        <w:t>，</w:t>
      </w:r>
      <w:r>
        <w:rPr>
          <w:rFonts w:ascii="Times New Roman" w:hAnsi="Times New Roman" w:eastAsia="方正仿宋_GBK" w:cs="Times New Roman"/>
          <w:color w:val="252525" w:themeColor="text1" w:themeTint="D9"/>
          <w:szCs w:val="21"/>
        </w:rPr>
        <w:t>由竞得人另行支付。竞买人在报名前须自行开展必要的现场踏勘，查询相关报告、协议、凭据等资料，了解具体支付方式及转接要求（</w:t>
      </w:r>
      <w:r>
        <w:rPr>
          <w:rFonts w:hint="eastAsia" w:ascii="Times New Roman" w:hAnsi="Times New Roman" w:eastAsia="方正仿宋_GBK" w:cs="Times New Roman"/>
          <w:color w:val="252525" w:themeColor="text1" w:themeTint="D9"/>
          <w:szCs w:val="21"/>
        </w:rPr>
        <w:t>重庆市</w:t>
      </w:r>
      <w:r>
        <w:rPr>
          <w:rFonts w:ascii="Times New Roman" w:hAnsi="Times New Roman" w:eastAsia="方正仿宋_GBK" w:cs="Times New Roman"/>
          <w:color w:val="252525" w:themeColor="text1" w:themeTint="D9"/>
          <w:szCs w:val="21"/>
        </w:rPr>
        <w:t>南川区规划</w:t>
      </w:r>
      <w:r>
        <w:rPr>
          <w:rFonts w:hint="eastAsia" w:ascii="Times New Roman" w:hAnsi="Times New Roman" w:eastAsia="方正仿宋_GBK" w:cs="Times New Roman"/>
          <w:color w:val="252525" w:themeColor="text1" w:themeTint="D9"/>
          <w:szCs w:val="21"/>
        </w:rPr>
        <w:t>和</w:t>
      </w:r>
      <w:r>
        <w:rPr>
          <w:rFonts w:ascii="Times New Roman" w:hAnsi="Times New Roman" w:eastAsia="方正仿宋_GBK" w:cs="Times New Roman"/>
          <w:color w:val="252525" w:themeColor="text1" w:themeTint="D9"/>
          <w:szCs w:val="21"/>
        </w:rPr>
        <w:t>自然资源局，联系人：王老师，联系电话：023-71420530）。</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4.提交竞买申请即视为竞买人对拟出让采矿权现状、出让文件、采矿权出让合同、实施“净矿”出让费用、政策要求等内容已完全认可并自愿承担所有风险</w:t>
      </w:r>
      <w:r>
        <w:rPr>
          <w:rFonts w:hint="eastAsia" w:ascii="Times New Roman" w:hAnsi="Times New Roman" w:eastAsia="方正仿宋_GBK" w:cs="Times New Roman"/>
          <w:color w:val="252525" w:themeColor="text1" w:themeTint="D9"/>
          <w:szCs w:val="21"/>
        </w:rPr>
        <w:t>。</w:t>
      </w:r>
    </w:p>
    <w:p>
      <w:pPr>
        <w:pStyle w:val="2"/>
      </w:pPr>
    </w:p>
    <w:p>
      <w:pPr>
        <w:spacing w:line="360" w:lineRule="exact"/>
        <w:ind w:firstLine="420" w:firstLineChars="200"/>
        <w:rPr>
          <w:rFonts w:ascii="Times New Roman" w:hAnsi="Times New Roman" w:eastAsia="方正仿宋_GBK" w:cs="Times New Roman"/>
          <w:color w:val="000000" w:themeColor="text1"/>
          <w:szCs w:val="21"/>
        </w:rPr>
      </w:pPr>
      <w:r>
        <w:rPr>
          <w:rFonts w:ascii="Times New Roman" w:hAnsi="Times New Roman" w:eastAsia="方正仿宋_GBK" w:cs="Times New Roman"/>
          <w:color w:val="000000" w:themeColor="text1"/>
          <w:szCs w:val="21"/>
        </w:rPr>
        <w:t>附件：</w:t>
      </w:r>
    </w:p>
    <w:p>
      <w:pPr>
        <w:spacing w:line="360" w:lineRule="exact"/>
        <w:ind w:firstLine="420" w:firstLineChars="200"/>
        <w:rPr>
          <w:rFonts w:ascii="Times New Roman" w:hAnsi="Times New Roman" w:eastAsia="方正仿宋_GBK" w:cs="Times New Roman"/>
          <w:color w:val="000000" w:themeColor="text1"/>
          <w:szCs w:val="21"/>
        </w:rPr>
      </w:pPr>
      <w:r>
        <w:rPr>
          <w:rFonts w:hint="eastAsia" w:ascii="Times New Roman" w:hAnsi="Times New Roman" w:eastAsia="方正仿宋_GBK" w:cs="Times New Roman"/>
          <w:color w:val="000000" w:themeColor="text1"/>
          <w:szCs w:val="21"/>
        </w:rPr>
        <w:t>1.</w:t>
      </w:r>
      <w:r>
        <w:rPr>
          <w:rFonts w:ascii="Times New Roman" w:hAnsi="Times New Roman" w:eastAsia="方正仿宋_GBK" w:cs="Times New Roman"/>
          <w:color w:val="000000" w:themeColor="text1"/>
          <w:szCs w:val="21"/>
        </w:rPr>
        <w:t>《竞买申请书》</w:t>
      </w:r>
    </w:p>
    <w:p>
      <w:pPr>
        <w:spacing w:line="360" w:lineRule="exact"/>
        <w:ind w:firstLine="420" w:firstLineChars="200"/>
        <w:rPr>
          <w:rFonts w:ascii="Times New Roman" w:hAnsi="Times New Roman" w:eastAsia="方正仿宋_GBK" w:cs="Times New Roman"/>
          <w:color w:val="000000" w:themeColor="text1"/>
          <w:szCs w:val="21"/>
        </w:rPr>
      </w:pPr>
      <w:r>
        <w:rPr>
          <w:rFonts w:hint="eastAsia" w:ascii="Times New Roman" w:hAnsi="Times New Roman" w:eastAsia="方正仿宋_GBK" w:cs="Times New Roman"/>
          <w:color w:val="000000" w:themeColor="text1"/>
          <w:szCs w:val="21"/>
        </w:rPr>
        <w:t>2.</w:t>
      </w:r>
      <w:r>
        <w:rPr>
          <w:rFonts w:ascii="Times New Roman" w:hAnsi="Times New Roman" w:eastAsia="方正仿宋_GBK" w:cs="Times New Roman"/>
          <w:color w:val="000000" w:themeColor="text1"/>
          <w:szCs w:val="21"/>
        </w:rPr>
        <w:t>《授权委托书》</w:t>
      </w:r>
    </w:p>
    <w:p>
      <w:pPr>
        <w:spacing w:line="360" w:lineRule="exact"/>
        <w:ind w:firstLine="420" w:firstLineChars="200"/>
        <w:rPr>
          <w:rFonts w:ascii="Times New Roman" w:hAnsi="Times New Roman" w:eastAsia="方正仿宋_GBK" w:cs="Times New Roman"/>
          <w:color w:val="000000" w:themeColor="text1"/>
          <w:szCs w:val="21"/>
        </w:rPr>
      </w:pPr>
      <w:r>
        <w:rPr>
          <w:rFonts w:hint="eastAsia" w:ascii="Times New Roman" w:hAnsi="Times New Roman" w:eastAsia="方正仿宋_GBK" w:cs="Times New Roman"/>
          <w:color w:val="000000" w:themeColor="text1"/>
          <w:szCs w:val="21"/>
        </w:rPr>
        <w:t>3.</w:t>
      </w:r>
      <w:r>
        <w:rPr>
          <w:rFonts w:ascii="Times New Roman" w:hAnsi="Times New Roman" w:eastAsia="方正仿宋_GBK" w:cs="Times New Roman"/>
          <w:color w:val="000000" w:themeColor="text1"/>
          <w:szCs w:val="21"/>
        </w:rPr>
        <w:t>重庆市采矿权出让合同（模板）</w:t>
      </w:r>
    </w:p>
    <w:p>
      <w:pPr>
        <w:spacing w:line="360" w:lineRule="exact"/>
        <w:ind w:firstLine="420" w:firstLineChars="200"/>
        <w:rPr>
          <w:rFonts w:ascii="Times New Roman" w:hAnsi="Times New Roman" w:eastAsia="方正仿宋_GBK" w:cs="Times New Roman"/>
          <w:color w:val="000000" w:themeColor="text1"/>
          <w:szCs w:val="21"/>
        </w:rPr>
      </w:pPr>
      <w:r>
        <w:rPr>
          <w:rFonts w:hint="eastAsia" w:ascii="Times New Roman" w:hAnsi="Times New Roman" w:eastAsia="方正仿宋_GBK" w:cs="Times New Roman"/>
          <w:color w:val="000000" w:themeColor="text1"/>
          <w:szCs w:val="21"/>
        </w:rPr>
        <w:t>4.</w:t>
      </w:r>
      <w:r>
        <w:rPr>
          <w:rFonts w:ascii="Times New Roman" w:hAnsi="Times New Roman" w:eastAsia="方正仿宋_GBK" w:cs="Times New Roman"/>
          <w:color w:val="000000" w:themeColor="text1"/>
          <w:szCs w:val="21"/>
        </w:rPr>
        <w:t>《成交确认书》</w:t>
      </w:r>
    </w:p>
    <w:p>
      <w:pPr>
        <w:spacing w:line="360" w:lineRule="exact"/>
        <w:ind w:firstLine="420" w:firstLineChars="200"/>
        <w:jc w:val="right"/>
        <w:rPr>
          <w:rFonts w:ascii="Times New Roman" w:hAnsi="Times New Roman" w:eastAsia="宋体" w:cs="Times New Roman"/>
          <w:color w:val="000000" w:themeColor="text1"/>
          <w:szCs w:val="21"/>
        </w:rPr>
      </w:pPr>
    </w:p>
    <w:p>
      <w:pPr>
        <w:spacing w:line="360" w:lineRule="exact"/>
        <w:ind w:right="420" w:firstLine="6405" w:firstLineChars="3050"/>
        <w:jc w:val="both"/>
        <w:rPr>
          <w:rFonts w:ascii="Times New Roman" w:hAnsi="Times New Roman" w:eastAsia="方正仿宋_GBK" w:cs="方正仿宋_GBK"/>
          <w:color w:val="000000" w:themeColor="text1"/>
          <w:szCs w:val="21"/>
        </w:rPr>
      </w:pPr>
      <w:r>
        <w:rPr>
          <w:rFonts w:hint="eastAsia" w:ascii="Times New Roman" w:hAnsi="Times New Roman" w:eastAsia="方正仿宋_GBK" w:cs="方正仿宋_GBK"/>
          <w:color w:val="000000" w:themeColor="text1"/>
          <w:szCs w:val="21"/>
        </w:rPr>
        <w:t>2025年3月14日</w:t>
      </w:r>
    </w:p>
    <w:tbl>
      <w:tblPr>
        <w:tblStyle w:val="8"/>
        <w:tblpPr w:leftFromText="180" w:rightFromText="180" w:vertAnchor="text" w:horzAnchor="margin" w:tblpY="426"/>
        <w:tblOverlap w:val="never"/>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4" w:hRule="exact"/>
        </w:trPr>
        <w:tc>
          <w:tcPr>
            <w:tcW w:w="8359" w:type="dxa"/>
          </w:tcPr>
          <w:p>
            <w:pPr>
              <w:spacing w:line="360" w:lineRule="exact"/>
              <w:rPr>
                <w:rFonts w:ascii="Times New Roman" w:hAnsi="Times New Roman" w:eastAsia="方正仿宋_GBK" w:cs="Times New Roman"/>
                <w:color w:val="000000" w:themeColor="text1"/>
                <w:szCs w:val="21"/>
              </w:rPr>
            </w:pPr>
            <w:r>
              <w:rPr>
                <w:rFonts w:ascii="Times New Roman" w:hAnsi="Times New Roman" w:eastAsia="方正仿宋_GBK" w:cs="Times New Roman"/>
                <w:color w:val="000000" w:themeColor="text1"/>
                <w:szCs w:val="21"/>
              </w:rPr>
              <w:t>竞买申请人声明：</w:t>
            </w:r>
            <w:r>
              <w:rPr>
                <w:rFonts w:ascii="Times New Roman" w:hAnsi="Times New Roman" w:eastAsia="方正仿宋_GBK" w:cs="Times New Roman"/>
                <w:i/>
                <w:color w:val="000000" w:themeColor="text1"/>
                <w:szCs w:val="21"/>
                <w:u w:val="single"/>
              </w:rPr>
              <w:t>（填写已自行踏勘、知晓、自愿等声明）</w:t>
            </w:r>
          </w:p>
          <w:p>
            <w:pPr>
              <w:spacing w:line="360" w:lineRule="exact"/>
              <w:rPr>
                <w:rFonts w:ascii="Times New Roman" w:hAnsi="Times New Roman" w:eastAsia="方正仿宋_GBK" w:cs="Times New Roman"/>
                <w:color w:val="000000" w:themeColor="text1"/>
                <w:szCs w:val="21"/>
                <w:u w:val="single"/>
              </w:rPr>
            </w:pPr>
          </w:p>
          <w:p>
            <w:pPr>
              <w:spacing w:line="360" w:lineRule="exact"/>
              <w:rPr>
                <w:rFonts w:ascii="Times New Roman" w:hAnsi="Times New Roman" w:eastAsia="方正仿宋_GBK" w:cs="Times New Roman"/>
                <w:color w:val="000000" w:themeColor="text1"/>
                <w:szCs w:val="21"/>
                <w:u w:val="single"/>
              </w:rPr>
            </w:pPr>
          </w:p>
          <w:p>
            <w:pPr>
              <w:spacing w:line="360" w:lineRule="exact"/>
              <w:rPr>
                <w:rFonts w:ascii="Times New Roman" w:hAnsi="Times New Roman" w:eastAsia="方正仿宋_GBK" w:cs="Times New Roman"/>
                <w:color w:val="000000" w:themeColor="text1"/>
                <w:szCs w:val="21"/>
                <w:u w:val="single"/>
              </w:rPr>
            </w:pPr>
          </w:p>
          <w:p>
            <w:pPr>
              <w:spacing w:line="360" w:lineRule="exact"/>
              <w:jc w:val="center"/>
              <w:rPr>
                <w:rFonts w:ascii="Times New Roman" w:hAnsi="Times New Roman" w:eastAsia="方正仿宋_GBK" w:cs="Times New Roman"/>
                <w:color w:val="000000" w:themeColor="text1"/>
                <w:szCs w:val="21"/>
              </w:rPr>
            </w:pPr>
            <w:r>
              <w:rPr>
                <w:rFonts w:ascii="Times New Roman" w:hAnsi="Times New Roman" w:eastAsia="方正仿宋_GBK" w:cs="Times New Roman"/>
                <w:color w:val="000000" w:themeColor="text1"/>
                <w:szCs w:val="21"/>
              </w:rPr>
              <w:t>竞买申请人（盖章）：</w:t>
            </w:r>
          </w:p>
          <w:p>
            <w:pPr>
              <w:spacing w:line="360" w:lineRule="exact"/>
              <w:jc w:val="center"/>
              <w:rPr>
                <w:rFonts w:ascii="Times New Roman" w:hAnsi="Times New Roman" w:eastAsia="方正仿宋_GBK" w:cs="Times New Roman"/>
                <w:color w:val="000000" w:themeColor="text1"/>
                <w:szCs w:val="21"/>
              </w:rPr>
            </w:pPr>
            <w:r>
              <w:rPr>
                <w:rFonts w:ascii="Times New Roman" w:hAnsi="Times New Roman" w:eastAsia="方正仿宋_GBK" w:cs="Times New Roman"/>
                <w:color w:val="000000" w:themeColor="text1"/>
                <w:szCs w:val="21"/>
              </w:rPr>
              <w:t>法人代表或授权代理人（签名）：</w:t>
            </w:r>
          </w:p>
          <w:p>
            <w:pPr>
              <w:spacing w:line="360" w:lineRule="exact"/>
              <w:jc w:val="center"/>
              <w:rPr>
                <w:rFonts w:ascii="Times New Roman" w:hAnsi="Times New Roman" w:eastAsia="方正仿宋_GBK" w:cs="Times New Roman"/>
                <w:color w:val="000000" w:themeColor="text1"/>
                <w:szCs w:val="21"/>
              </w:rPr>
            </w:pPr>
          </w:p>
          <w:p>
            <w:pPr>
              <w:wordWrap w:val="0"/>
              <w:spacing w:line="360" w:lineRule="exact"/>
              <w:ind w:right="525" w:rightChars="250"/>
              <w:jc w:val="right"/>
              <w:rPr>
                <w:rFonts w:ascii="Times New Roman" w:hAnsi="Times New Roman" w:eastAsia="宋体" w:cs="Times New Roman"/>
                <w:color w:val="000000" w:themeColor="text1"/>
                <w:szCs w:val="21"/>
              </w:rPr>
            </w:pPr>
            <w:r>
              <w:rPr>
                <w:rFonts w:ascii="Times New Roman" w:hAnsi="Times New Roman" w:eastAsia="方正仿宋_GBK" w:cs="Times New Roman"/>
                <w:color w:val="000000" w:themeColor="text1"/>
                <w:szCs w:val="21"/>
              </w:rPr>
              <w:t>年月日</w:t>
            </w:r>
          </w:p>
        </w:tc>
      </w:tr>
    </w:tbl>
    <w:p>
      <w:pPr>
        <w:spacing w:line="360" w:lineRule="exact"/>
        <w:rPr>
          <w:rFonts w:ascii="Times New Roman" w:hAnsi="Times New Roman" w:cs="Times New Roman"/>
          <w:color w:val="000000" w:themeColor="text1"/>
          <w:szCs w:val="21"/>
        </w:rPr>
      </w:pPr>
    </w:p>
    <w:p>
      <w:pPr>
        <w:pStyle w:val="2"/>
        <w:sectPr>
          <w:footerReference r:id="rId3" w:type="default"/>
          <w:pgSz w:w="11906" w:h="16838"/>
          <w:pgMar w:top="2098" w:right="1474" w:bottom="1985" w:left="1588" w:header="851" w:footer="1418" w:gutter="0"/>
          <w:pgNumType w:start="1"/>
          <w:cols w:space="425" w:num="1"/>
          <w:docGrid w:type="lines" w:linePitch="312" w:charSpace="0"/>
        </w:sectPr>
      </w:pPr>
    </w:p>
    <w:p>
      <w:pPr>
        <w:spacing w:line="360" w:lineRule="exact"/>
        <w:rPr>
          <w:rFonts w:ascii="Times New Roman" w:hAnsi="Times New Roman" w:cs="Times New Roman"/>
          <w:color w:val="252525" w:themeColor="text1" w:themeTint="D9"/>
          <w:szCs w:val="21"/>
        </w:rPr>
      </w:pPr>
    </w:p>
    <w:sectPr>
      <w:footerReference r:id="rId4" w:type="default"/>
      <w:pgSz w:w="11906" w:h="16838"/>
      <w:pgMar w:top="2098" w:right="1474" w:bottom="1984" w:left="1587" w:header="851" w:footer="141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文本框 3" o:spid="_x0000_s1025" o:spt="202" type="#_x0000_t202" style="position:absolute;left:0pt;margin-top:0pt;height:144pt;width:144pt;mso-position-horizontal:outside;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G1qZYhhAgAACgUAAA4AAAAAAAAAAAAAAAAALgIAAGRycy9lMm9Eb2MueG1s&#10;UEsBAi0AFAAGAAgAAAAhAHGq0bnXAAAABQEAAA8AAAAAAAAAAAAAAAAAuwQAAGRycy9kb3ducmV2&#10;LnhtbFBLBQYAAAAABAAEAPMAAAC/BQAAAAA=&#10;">
          <v:path/>
          <v:fill on="f" focussize="0,0"/>
          <v:stroke on="f" weight="0.5pt" joinstyle="miter"/>
          <v:imagedata o:title=""/>
          <o:lock v:ext="edit"/>
          <v:textbox inset="0mm,0mm,0mm,0mm" style="mso-fit-shape-to-text:t;">
            <w:txbxContent>
              <w:p>
                <w:pPr>
                  <w:pStyle w:val="5"/>
                  <w:rPr>
                    <w:rFonts w:ascii="Times New Roman" w:hAnsi="Times New Roman" w:cs="Times New Roman"/>
                  </w:rPr>
                </w:pPr>
                <w:r>
                  <w:rPr>
                    <w:rFonts w:ascii="Times New Roman" w:hAnsi="Times New Roman" w:cs="Times New Roman"/>
                    <w:sz w:val="22"/>
                    <w:szCs w:val="22"/>
                  </w:rPr>
                  <w:t xml:space="preserve">— </w:t>
                </w:r>
                <w:r>
                  <w:rPr>
                    <w:rFonts w:ascii="Times New Roman" w:hAnsi="Times New Roman" w:cs="Times New Roman"/>
                    <w:sz w:val="22"/>
                    <w:szCs w:val="22"/>
                  </w:rPr>
                  <w:fldChar w:fldCharType="begin"/>
                </w:r>
                <w:r>
                  <w:rPr>
                    <w:rFonts w:ascii="Times New Roman" w:hAnsi="Times New Roman" w:cs="Times New Roman"/>
                    <w:sz w:val="22"/>
                    <w:szCs w:val="22"/>
                  </w:rPr>
                  <w:instrText xml:space="preserve"> PAGE  \* MERGEFORMAT </w:instrText>
                </w:r>
                <w:r>
                  <w:rPr>
                    <w:rFonts w:ascii="Times New Roman" w:hAnsi="Times New Roman" w:cs="Times New Roman"/>
                    <w:sz w:val="22"/>
                    <w:szCs w:val="22"/>
                  </w:rPr>
                  <w:fldChar w:fldCharType="separate"/>
                </w:r>
                <w:r>
                  <w:rPr>
                    <w:rFonts w:ascii="Times New Roman" w:hAnsi="Times New Roman" w:cs="Times New Roman"/>
                    <w:sz w:val="22"/>
                    <w:szCs w:val="22"/>
                  </w:rPr>
                  <w:t>4</w:t>
                </w:r>
                <w:r>
                  <w:rPr>
                    <w:rFonts w:ascii="Times New Roman" w:hAnsi="Times New Roman" w:cs="Times New Roman"/>
                    <w:sz w:val="22"/>
                    <w:szCs w:val="22"/>
                  </w:rPr>
                  <w:fldChar w:fldCharType="end"/>
                </w:r>
                <w:r>
                  <w:rPr>
                    <w:rFonts w:ascii="Times New Roman" w:hAnsi="Times New Roman" w:cs="Times New Roman"/>
                    <w:sz w:val="22"/>
                    <w:szCs w:val="22"/>
                  </w:rPr>
                  <w:t>—</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xjXvmMCAAARBQAADgAAAAAAAAAAAAAAAAAuAgAAZHJzL2Uyb0RvYy54&#10;bWxQSwECLQAUAAYACAAAACEAcarRudcAAAAFAQAADwAAAAAAAAAAAAAAAAC9BAAAZHJzL2Rvd25y&#10;ZXYueG1sUEsFBgAAAAAEAAQA8wAAAMEFAAAAAA==&#10;">
          <v:path/>
          <v:fill on="f" focussize="0,0"/>
          <v:stroke on="f" weight="0.5pt" joinstyle="miter"/>
          <v:imagedata o:title=""/>
          <o:lock v:ext="edit"/>
          <v:textbox inset="0mm,0mm,0mm,0mm" style="mso-fit-shape-to-text:t;">
            <w:txbxContent>
              <w:p>
                <w:pPr>
                  <w:rPr>
                    <w:rFonts w:asciiTheme="minorEastAsia" w:hAnsiTheme="minorEastAsia" w:cstheme="minorEastAsia"/>
                    <w:sz w:val="28"/>
                    <w:szCs w:val="28"/>
                  </w:rPr>
                </w:pPr>
                <w:r>
                  <w:rPr>
                    <w:rFonts w:hint="eastAsia" w:asciiTheme="minorEastAsia" w:hAnsiTheme="minorEastAsia" w:cstheme="minorEastAsia"/>
                    <w:sz w:val="28"/>
                    <w:szCs w:val="28"/>
                  </w:rPr>
                  <w:t>—</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8</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BkNzVkNTQ2ZDBmNDgzNmVlYTU5MDkxZmUwYjcyYTIifQ=="/>
  </w:docVars>
  <w:rsids>
    <w:rsidRoot w:val="004C3368"/>
    <w:rsid w:val="00026027"/>
    <w:rsid w:val="00044F70"/>
    <w:rsid w:val="000460FC"/>
    <w:rsid w:val="000E5863"/>
    <w:rsid w:val="000E594F"/>
    <w:rsid w:val="00130193"/>
    <w:rsid w:val="0015687B"/>
    <w:rsid w:val="00157AF2"/>
    <w:rsid w:val="00170EFC"/>
    <w:rsid w:val="001872ED"/>
    <w:rsid w:val="001A09FC"/>
    <w:rsid w:val="001C0B90"/>
    <w:rsid w:val="001E4BC6"/>
    <w:rsid w:val="001F353F"/>
    <w:rsid w:val="00201871"/>
    <w:rsid w:val="00256123"/>
    <w:rsid w:val="00262872"/>
    <w:rsid w:val="002A74E4"/>
    <w:rsid w:val="0033657D"/>
    <w:rsid w:val="00366701"/>
    <w:rsid w:val="003F570D"/>
    <w:rsid w:val="00443700"/>
    <w:rsid w:val="0046086D"/>
    <w:rsid w:val="00467897"/>
    <w:rsid w:val="00475A6F"/>
    <w:rsid w:val="00484F3B"/>
    <w:rsid w:val="004C3368"/>
    <w:rsid w:val="004F3BBD"/>
    <w:rsid w:val="005423E0"/>
    <w:rsid w:val="00561A0F"/>
    <w:rsid w:val="0058582D"/>
    <w:rsid w:val="005B317D"/>
    <w:rsid w:val="005C22F0"/>
    <w:rsid w:val="005E59EA"/>
    <w:rsid w:val="005F3C2A"/>
    <w:rsid w:val="00610013"/>
    <w:rsid w:val="00641453"/>
    <w:rsid w:val="00710561"/>
    <w:rsid w:val="00746FF2"/>
    <w:rsid w:val="00780848"/>
    <w:rsid w:val="0079363B"/>
    <w:rsid w:val="007A3A1F"/>
    <w:rsid w:val="007B30EE"/>
    <w:rsid w:val="007E6E7F"/>
    <w:rsid w:val="00861745"/>
    <w:rsid w:val="008755E8"/>
    <w:rsid w:val="00892797"/>
    <w:rsid w:val="008F73AF"/>
    <w:rsid w:val="00934C8D"/>
    <w:rsid w:val="00953AD5"/>
    <w:rsid w:val="0098619C"/>
    <w:rsid w:val="0098680D"/>
    <w:rsid w:val="00995B08"/>
    <w:rsid w:val="00A169EA"/>
    <w:rsid w:val="00A325D5"/>
    <w:rsid w:val="00A84C64"/>
    <w:rsid w:val="00AE07EF"/>
    <w:rsid w:val="00AE2AEF"/>
    <w:rsid w:val="00B16E2E"/>
    <w:rsid w:val="00B86D8B"/>
    <w:rsid w:val="00BB0DC4"/>
    <w:rsid w:val="00BC6980"/>
    <w:rsid w:val="00C23FCA"/>
    <w:rsid w:val="00C62B44"/>
    <w:rsid w:val="00CA1D12"/>
    <w:rsid w:val="00CB08A9"/>
    <w:rsid w:val="00D4471D"/>
    <w:rsid w:val="00D44F2E"/>
    <w:rsid w:val="00D71306"/>
    <w:rsid w:val="00DA1E20"/>
    <w:rsid w:val="00DF7F17"/>
    <w:rsid w:val="00E0123E"/>
    <w:rsid w:val="00E36FB8"/>
    <w:rsid w:val="00E60279"/>
    <w:rsid w:val="00E71B65"/>
    <w:rsid w:val="00EC19DA"/>
    <w:rsid w:val="00EC6DBC"/>
    <w:rsid w:val="00ED5884"/>
    <w:rsid w:val="00F024B4"/>
    <w:rsid w:val="00F5548E"/>
    <w:rsid w:val="00F5722A"/>
    <w:rsid w:val="00F6759E"/>
    <w:rsid w:val="00FB324A"/>
    <w:rsid w:val="00FC7B89"/>
    <w:rsid w:val="0176629F"/>
    <w:rsid w:val="017930BC"/>
    <w:rsid w:val="01826654"/>
    <w:rsid w:val="05B02B42"/>
    <w:rsid w:val="070C0D41"/>
    <w:rsid w:val="0C765FD3"/>
    <w:rsid w:val="0DD811C5"/>
    <w:rsid w:val="0E5D5F82"/>
    <w:rsid w:val="11464275"/>
    <w:rsid w:val="13964441"/>
    <w:rsid w:val="13D77E5C"/>
    <w:rsid w:val="149C6688"/>
    <w:rsid w:val="14F63BA5"/>
    <w:rsid w:val="157D1EA6"/>
    <w:rsid w:val="1A734C33"/>
    <w:rsid w:val="1F100851"/>
    <w:rsid w:val="21A902BF"/>
    <w:rsid w:val="21D5656C"/>
    <w:rsid w:val="234D390B"/>
    <w:rsid w:val="242E214B"/>
    <w:rsid w:val="24A857DD"/>
    <w:rsid w:val="26177D67"/>
    <w:rsid w:val="276D7189"/>
    <w:rsid w:val="2A7D1916"/>
    <w:rsid w:val="2B70514E"/>
    <w:rsid w:val="2C10030D"/>
    <w:rsid w:val="2DCC1491"/>
    <w:rsid w:val="2EBF392B"/>
    <w:rsid w:val="2EF840C8"/>
    <w:rsid w:val="2F942603"/>
    <w:rsid w:val="2FD25F02"/>
    <w:rsid w:val="346E4651"/>
    <w:rsid w:val="356D1D34"/>
    <w:rsid w:val="35CB1016"/>
    <w:rsid w:val="373D47DD"/>
    <w:rsid w:val="37E85DDE"/>
    <w:rsid w:val="3A4A27C2"/>
    <w:rsid w:val="3A6F32A1"/>
    <w:rsid w:val="3D0847F7"/>
    <w:rsid w:val="3D2A7168"/>
    <w:rsid w:val="3D2E098C"/>
    <w:rsid w:val="3E0313DD"/>
    <w:rsid w:val="3F55288C"/>
    <w:rsid w:val="40A24B89"/>
    <w:rsid w:val="42057742"/>
    <w:rsid w:val="47797541"/>
    <w:rsid w:val="47F9149F"/>
    <w:rsid w:val="48D95284"/>
    <w:rsid w:val="49974B90"/>
    <w:rsid w:val="49F44313"/>
    <w:rsid w:val="4B57630E"/>
    <w:rsid w:val="4E6B7B4B"/>
    <w:rsid w:val="50716D51"/>
    <w:rsid w:val="514F7B3C"/>
    <w:rsid w:val="52CF0E75"/>
    <w:rsid w:val="53365504"/>
    <w:rsid w:val="544F22F8"/>
    <w:rsid w:val="5676552E"/>
    <w:rsid w:val="575B5564"/>
    <w:rsid w:val="57D3134F"/>
    <w:rsid w:val="59CB5038"/>
    <w:rsid w:val="5AC1568D"/>
    <w:rsid w:val="5D7E4748"/>
    <w:rsid w:val="5DD12577"/>
    <w:rsid w:val="60887557"/>
    <w:rsid w:val="63C15838"/>
    <w:rsid w:val="64B556C7"/>
    <w:rsid w:val="6A7D4E10"/>
    <w:rsid w:val="6B322523"/>
    <w:rsid w:val="6D5C5A2C"/>
    <w:rsid w:val="6FE4385E"/>
    <w:rsid w:val="70E61BC2"/>
    <w:rsid w:val="7202408C"/>
    <w:rsid w:val="729E4B62"/>
    <w:rsid w:val="74F75BC7"/>
    <w:rsid w:val="75B91528"/>
    <w:rsid w:val="777042D9"/>
    <w:rsid w:val="77FA702F"/>
    <w:rsid w:val="78BD6D27"/>
    <w:rsid w:val="79412438"/>
    <w:rsid w:val="7A727B76"/>
    <w:rsid w:val="7C6D5ADC"/>
    <w:rsid w:val="7C9514C3"/>
    <w:rsid w:val="7F761EB0"/>
    <w:rsid w:val="7F83311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next w:val="1"/>
    <w:qFormat/>
    <w:uiPriority w:val="0"/>
    <w:pPr>
      <w:ind w:left="100" w:firstLine="559"/>
      <w:jc w:val="left"/>
    </w:pPr>
    <w:rPr>
      <w:rFonts w:ascii="宋体" w:hAnsi="宋体"/>
      <w:kern w:val="0"/>
      <w:sz w:val="28"/>
      <w:szCs w:val="28"/>
      <w:lang w:eastAsia="en-US"/>
    </w:rPr>
  </w:style>
  <w:style w:type="paragraph" w:styleId="4">
    <w:name w:val="Balloon Text"/>
    <w:basedOn w:val="1"/>
    <w:link w:val="13"/>
    <w:qFormat/>
    <w:uiPriority w:val="0"/>
    <w:rPr>
      <w:sz w:val="18"/>
      <w:szCs w:val="18"/>
    </w:rPr>
  </w:style>
  <w:style w:type="paragraph" w:styleId="5">
    <w:name w:val="footer"/>
    <w:basedOn w:val="1"/>
    <w:link w:val="12"/>
    <w:qFormat/>
    <w:uiPriority w:val="99"/>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kern w:val="0"/>
      <w:sz w:val="24"/>
      <w:szCs w:val="24"/>
    </w:rPr>
  </w:style>
  <w:style w:type="character" w:styleId="10">
    <w:name w:val="Strong"/>
    <w:basedOn w:val="9"/>
    <w:qFormat/>
    <w:uiPriority w:val="22"/>
    <w:rPr>
      <w:b/>
      <w:bCs/>
    </w:rPr>
  </w:style>
  <w:style w:type="character" w:customStyle="1" w:styleId="11">
    <w:name w:val="页眉 Char"/>
    <w:basedOn w:val="9"/>
    <w:link w:val="6"/>
    <w:qFormat/>
    <w:uiPriority w:val="0"/>
    <w:rPr>
      <w:rFonts w:asciiTheme="minorHAnsi" w:hAnsiTheme="minorHAnsi" w:eastAsiaTheme="minorEastAsia" w:cstheme="minorBidi"/>
      <w:kern w:val="2"/>
      <w:sz w:val="18"/>
      <w:szCs w:val="18"/>
    </w:rPr>
  </w:style>
  <w:style w:type="character" w:customStyle="1" w:styleId="12">
    <w:name w:val="页脚 Char"/>
    <w:basedOn w:val="9"/>
    <w:link w:val="5"/>
    <w:qFormat/>
    <w:uiPriority w:val="99"/>
    <w:rPr>
      <w:rFonts w:asciiTheme="minorHAnsi" w:hAnsiTheme="minorHAnsi" w:eastAsiaTheme="minorEastAsia" w:cstheme="minorBidi"/>
      <w:kern w:val="2"/>
      <w:sz w:val="18"/>
      <w:szCs w:val="18"/>
    </w:rPr>
  </w:style>
  <w:style w:type="character" w:customStyle="1" w:styleId="13">
    <w:name w:val="批注框文本 Char"/>
    <w:basedOn w:val="9"/>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8</Pages>
  <Words>958</Words>
  <Characters>5462</Characters>
  <Lines>45</Lines>
  <Paragraphs>12</Paragraphs>
  <TotalTime>7</TotalTime>
  <ScaleCrop>false</ScaleCrop>
  <LinksUpToDate>false</LinksUpToDate>
  <CharactersWithSpaces>6408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2024-12-31T02:58:00Z</dcterms:created>
  <dc:creator>微软用户</dc:creator>
  <cp:lastModifiedBy>Administrator</cp:lastModifiedBy>
  <cp:lastPrinted>2025-03-12T06:35:00Z</cp:lastPrinted>
  <dcterms:modified xsi:type="dcterms:W3CDTF">2025-03-13T03:49:58Z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42E742F427E9490D86C48E6B48AE0F11_13</vt:lpwstr>
  </property>
</Properties>
</file>