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exact"/>
        <w:jc w:val="center"/>
        <w:rPr>
          <w:rFonts w:ascii="方正小标宋_GBK" w:hAnsi="方正小标宋_GBK" w:eastAsia="方正小标宋_GBK" w:cs="方正小标宋_GBK"/>
          <w:color w:val="252525" w:themeColor="text1" w:themeTint="D9"/>
          <w:sz w:val="28"/>
          <w:szCs w:val="28"/>
        </w:rPr>
      </w:pPr>
      <w:r>
        <w:rPr>
          <w:rFonts w:hint="eastAsia" w:ascii="方正小标宋_GBK" w:hAnsi="方正小标宋_GBK" w:eastAsia="方正小标宋_GBK" w:cs="方正小标宋_GBK"/>
          <w:color w:val="252525" w:themeColor="text1" w:themeTint="D9"/>
          <w:sz w:val="28"/>
          <w:szCs w:val="28"/>
        </w:rPr>
        <w:t>南川区南城街道石林居委三社地热勘查探矿权拍卖出让文件</w:t>
      </w:r>
    </w:p>
    <w:p>
      <w:pPr>
        <w:wordWrap w:val="0"/>
        <w:snapToGrid w:val="0"/>
        <w:spacing w:line="360" w:lineRule="exact"/>
        <w:jc w:val="right"/>
        <w:rPr>
          <w:rFonts w:ascii="方正仿宋_GBK" w:hAnsi="方正仿宋_GBK" w:eastAsia="方正仿宋_GBK" w:cs="方正仿宋_GBK"/>
          <w:b/>
          <w:bCs/>
          <w:color w:val="252525" w:themeColor="text1" w:themeTint="D9"/>
          <w:szCs w:val="21"/>
        </w:rPr>
      </w:pPr>
    </w:p>
    <w:p>
      <w:pPr>
        <w:wordWrap w:val="0"/>
        <w:snapToGrid w:val="0"/>
        <w:spacing w:line="360" w:lineRule="exact"/>
        <w:jc w:val="right"/>
        <w:rPr>
          <w:rFonts w:ascii="Times New Roman" w:hAnsi="Times New Roman" w:eastAsia="方正仿宋_GBK" w:cs="Times New Roman"/>
          <w:color w:val="252525" w:themeColor="text1" w:themeTint="D9"/>
          <w:sz w:val="32"/>
          <w:szCs w:val="32"/>
        </w:rPr>
      </w:pPr>
      <w:r>
        <w:rPr>
          <w:rFonts w:ascii="Times New Roman" w:hAnsi="Times New Roman" w:eastAsia="方正仿宋_GBK" w:cs="Times New Roman"/>
          <w:color w:val="252525" w:themeColor="text1" w:themeTint="D9"/>
          <w:szCs w:val="21"/>
        </w:rPr>
        <w:t>公告序号：NCGT202501</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rPr>
        <w:t>重庆市南川区</w:t>
      </w:r>
      <w:r>
        <w:rPr>
          <w:rFonts w:ascii="Times New Roman" w:hAnsi="Times New Roman" w:eastAsia="方正仿宋_GBK" w:cs="Times New Roman"/>
          <w:color w:val="252525" w:themeColor="text1" w:themeTint="D9"/>
          <w:szCs w:val="21"/>
        </w:rPr>
        <w:t>规划和自然资源局决定公开拍卖出让以下探矿权，并委托重庆市公共资源交易中心负责公开出让交易环节的组织实施，本次公开出让的探矿权采用网上交易方式。</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方正黑体_GBK" w:hAnsi="方正黑体_GBK" w:eastAsia="方正黑体_GBK" w:cs="方正黑体_GBK"/>
          <w:color w:val="252525" w:themeColor="text1" w:themeTint="D9"/>
          <w:kern w:val="0"/>
          <w:szCs w:val="21"/>
        </w:rPr>
        <w:t>一、出让探矿权基本情况</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（一）公告时间：202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14</w:t>
      </w:r>
      <w:r>
        <w:rPr>
          <w:rFonts w:ascii="Times New Roman" w:hAnsi="Times New Roman" w:eastAsia="方正仿宋_GBK" w:cs="Times New Roman"/>
          <w:color w:val="252525" w:themeColor="text1" w:themeTint="D9"/>
          <w:szCs w:val="21"/>
        </w:rPr>
        <w:t>日-202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11</w:t>
      </w:r>
      <w:r>
        <w:rPr>
          <w:rFonts w:ascii="Times New Roman" w:hAnsi="Times New Roman" w:eastAsia="方正仿宋_GBK" w:cs="Times New Roman"/>
          <w:color w:val="252525" w:themeColor="text1" w:themeTint="D9"/>
          <w:szCs w:val="21"/>
        </w:rPr>
        <w:t>日；</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（二）探矿权名称（暂定名）：南川区南城街道石林居委三社地热勘查；</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（三）地理位置：南川区南城街道石林居委三社；</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（四）勘查面积：1.08平方公里；</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（五）地质工作程度：详查阶段； </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（六）勘查矿种：地热；</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（七）出让年限：5年（首设）；</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（八）出让收益起始价：</w:t>
      </w:r>
      <w:r>
        <w:rPr>
          <w:rFonts w:hint="eastAsia" w:ascii="Times New Roman" w:hAnsi="Times New Roman" w:eastAsia="方正仿宋_GBK" w:cs="Times New Roman"/>
          <w:color w:val="252525" w:themeColor="text1" w:themeTint="D9"/>
          <w:szCs w:val="21"/>
        </w:rPr>
        <w:t>21.6</w:t>
      </w:r>
      <w:r>
        <w:rPr>
          <w:rFonts w:ascii="Times New Roman" w:hAnsi="Times New Roman" w:eastAsia="方正仿宋_GBK" w:cs="Times New Roman"/>
          <w:color w:val="252525" w:themeColor="text1" w:themeTint="D9"/>
          <w:szCs w:val="21"/>
        </w:rPr>
        <w:t>万元；</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（九）勘查范围坐标（2000坐标系）：</w:t>
      </w:r>
    </w:p>
    <w:tbl>
      <w:tblPr>
        <w:tblStyle w:val="9"/>
        <w:tblW w:w="7508" w:type="dxa"/>
        <w:jc w:val="center"/>
        <w:tblLayout w:type="fixed"/>
        <w:tblCellMar>
          <w:top w:w="0" w:type="dxa"/>
          <w:left w:w="108" w:type="dxa"/>
          <w:bottom w:w="0" w:type="dxa"/>
          <w:right w:w="108" w:type="dxa"/>
        </w:tblCellMar>
      </w:tblPr>
      <w:tblGrid>
        <w:gridCol w:w="1320"/>
        <w:gridCol w:w="3070"/>
        <w:gridCol w:w="3118"/>
      </w:tblGrid>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拐点</w:t>
            </w:r>
          </w:p>
        </w:tc>
        <w:tc>
          <w:tcPr>
            <w:tcW w:w="3070" w:type="dxa"/>
            <w:tcBorders>
              <w:top w:val="single" w:color="auto" w:sz="4" w:space="0"/>
              <w:left w:val="nil"/>
              <w:bottom w:val="single" w:color="auto" w:sz="4" w:space="0"/>
              <w:right w:val="single" w:color="000000" w:sz="4" w:space="0"/>
            </w:tcBorders>
            <w:vAlign w:val="center"/>
          </w:tcPr>
          <w:p>
            <w:pPr>
              <w:widowControl/>
              <w:spacing w:line="360" w:lineRule="exact"/>
              <w:jc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经度</w:t>
            </w:r>
          </w:p>
        </w:tc>
        <w:tc>
          <w:tcPr>
            <w:tcW w:w="311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纬度</w:t>
            </w:r>
          </w:p>
        </w:tc>
      </w:tr>
      <w:tr>
        <w:tblPrEx>
          <w:tblCellMar>
            <w:top w:w="0" w:type="dxa"/>
            <w:left w:w="108" w:type="dxa"/>
            <w:bottom w:w="0" w:type="dxa"/>
            <w:right w:w="108" w:type="dxa"/>
          </w:tblCellMar>
        </w:tblPrEx>
        <w:trPr>
          <w:trHeight w:val="454" w:hRule="exact"/>
          <w:jc w:val="center"/>
        </w:trPr>
        <w:tc>
          <w:tcPr>
            <w:tcW w:w="1320" w:type="dxa"/>
            <w:tcBorders>
              <w:top w:val="nil"/>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w:t>
            </w:r>
          </w:p>
        </w:tc>
        <w:tc>
          <w:tcPr>
            <w:tcW w:w="3070" w:type="dxa"/>
            <w:tcBorders>
              <w:top w:val="single" w:color="auto" w:sz="4" w:space="0"/>
              <w:left w:val="nil"/>
              <w:bottom w:val="single" w:color="auto" w:sz="4" w:space="0"/>
              <w:right w:val="single" w:color="000000"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107°03'27.371"</w:t>
            </w:r>
          </w:p>
        </w:tc>
        <w:tc>
          <w:tcPr>
            <w:tcW w:w="3118" w:type="dxa"/>
            <w:tcBorders>
              <w:top w:val="nil"/>
              <w:left w:val="nil"/>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29°04'47.757"</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w:t>
            </w: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107°04'06.061"</w:t>
            </w:r>
          </w:p>
        </w:tc>
        <w:tc>
          <w:tcPr>
            <w:tcW w:w="3118"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29°04'45.155"</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w:t>
            </w: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107°04'03.129"</w:t>
            </w:r>
          </w:p>
        </w:tc>
        <w:tc>
          <w:tcPr>
            <w:tcW w:w="3118"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29°04'11.815"</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w:t>
            </w: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107°03'24.790"</w:t>
            </w:r>
          </w:p>
        </w:tc>
        <w:tc>
          <w:tcPr>
            <w:tcW w:w="3118"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29°04'13.982"</w:t>
            </w:r>
          </w:p>
        </w:tc>
      </w:tr>
    </w:tbl>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 xml:space="preserve">二、出让人、交易平台联系方式 </w:t>
      </w:r>
    </w:p>
    <w:p>
      <w:pPr>
        <w:adjustRightInd w:val="0"/>
        <w:snapToGrid w:val="0"/>
        <w:spacing w:line="360" w:lineRule="exact"/>
        <w:ind w:firstLine="420" w:firstLineChars="200"/>
        <w:rPr>
          <w:rFonts w:ascii="方正楷体_GBK" w:hAnsi="Times New Roman" w:eastAsia="方正楷体_GBK" w:cs="方正楷体_GBK"/>
          <w:b/>
          <w:bCs/>
          <w:color w:val="252525" w:themeColor="text1" w:themeTint="D9"/>
          <w:szCs w:val="21"/>
        </w:rPr>
      </w:pPr>
      <w:r>
        <w:rPr>
          <w:rFonts w:hint="eastAsia" w:ascii="方正楷体_GBK" w:hAnsi="Times New Roman" w:eastAsia="方正楷体_GBK" w:cs="方正楷体_GBK"/>
          <w:color w:val="252525" w:themeColor="text1" w:themeTint="D9"/>
          <w:kern w:val="0"/>
          <w:szCs w:val="21"/>
        </w:rPr>
        <w:t>（一）出让人</w:t>
      </w:r>
    </w:p>
    <w:p>
      <w:pPr>
        <w:adjustRightInd w:val="0"/>
        <w:snapToGrid w:val="0"/>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本宗探矿权出让人为</w:t>
      </w:r>
      <w:r>
        <w:rPr>
          <w:rFonts w:hint="eastAsia" w:ascii="Times New Roman" w:hAnsi="Times New Roman" w:eastAsia="方正仿宋_GBK" w:cs="Times New Roman"/>
          <w:color w:val="252525" w:themeColor="text1" w:themeTint="D9"/>
          <w:kern w:val="0"/>
          <w:szCs w:val="21"/>
        </w:rPr>
        <w:t>重庆市</w:t>
      </w:r>
      <w:r>
        <w:rPr>
          <w:rFonts w:ascii="Times New Roman" w:hAnsi="Times New Roman" w:eastAsia="方正仿宋_GBK" w:cs="Times New Roman"/>
          <w:color w:val="252525" w:themeColor="text1" w:themeTint="D9"/>
          <w:kern w:val="0"/>
          <w:szCs w:val="21"/>
        </w:rPr>
        <w:t>南川区规划和自然资源局；</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w:t>
      </w:r>
      <w:r>
        <w:rPr>
          <w:rFonts w:hint="eastAsia" w:ascii="Times New Roman" w:hAnsi="Times New Roman" w:eastAsia="方正仿宋_GBK" w:cs="Times New Roman"/>
          <w:color w:val="252525" w:themeColor="text1" w:themeTint="D9"/>
          <w:kern w:val="0"/>
          <w:szCs w:val="21"/>
        </w:rPr>
        <w:t>重庆市</w:t>
      </w:r>
      <w:r>
        <w:rPr>
          <w:rFonts w:ascii="Times New Roman" w:hAnsi="Times New Roman" w:eastAsia="方正仿宋_GBK" w:cs="Times New Roman"/>
          <w:color w:val="252525" w:themeColor="text1" w:themeTint="D9"/>
          <w:kern w:val="0"/>
          <w:szCs w:val="21"/>
        </w:rPr>
        <w:t>南川区南大街89号；</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 ，联系电话：023-71420530 。</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kern w:val="0"/>
          <w:szCs w:val="21"/>
        </w:rPr>
      </w:pPr>
      <w:r>
        <w:rPr>
          <w:rFonts w:hint="eastAsia" w:ascii="方正楷体_GBK" w:hAnsi="Times New Roman" w:eastAsia="方正楷体_GBK" w:cs="方正楷体_GBK"/>
          <w:color w:val="252525" w:themeColor="text1" w:themeTint="D9"/>
          <w:kern w:val="0"/>
          <w:szCs w:val="21"/>
        </w:rPr>
        <w:t xml:space="preserve">（二）交易平台 </w:t>
      </w:r>
    </w:p>
    <w:p>
      <w:pPr>
        <w:adjustRightInd w:val="0"/>
        <w:snapToGrid w:val="0"/>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本宗探矿权交易平台为重庆市公共资源交易中心。</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地址：重庆市渝北区青枫北路6号渝兴广场B9、B10栋</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w:t>
      </w:r>
      <w:r>
        <w:rPr>
          <w:rFonts w:hint="eastAsia" w:ascii="Times New Roman" w:hAnsi="Times New Roman" w:eastAsia="方正仿宋_GBK" w:cs="Times New Roman"/>
          <w:color w:val="252525" w:themeColor="text1" w:themeTint="D9"/>
          <w:kern w:val="0"/>
          <w:szCs w:val="21"/>
        </w:rPr>
        <w:t>：</w:t>
      </w:r>
      <w:r>
        <w:rPr>
          <w:rFonts w:ascii="Times New Roman" w:hAnsi="Times New Roman" w:eastAsia="方正仿宋_GBK" w:cs="Times New Roman"/>
          <w:color w:val="252525" w:themeColor="text1" w:themeTint="D9"/>
          <w:kern w:val="0"/>
          <w:szCs w:val="21"/>
        </w:rPr>
        <w:t>023-63628117。</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kern w:val="0"/>
          <w:szCs w:val="21"/>
        </w:rPr>
      </w:pPr>
      <w:r>
        <w:rPr>
          <w:rFonts w:hint="eastAsia" w:ascii="方正楷体_GBK" w:hAnsi="Times New Roman" w:eastAsia="方正楷体_GBK" w:cs="方正楷体_GBK"/>
          <w:color w:val="252525" w:themeColor="text1" w:themeTint="D9"/>
          <w:kern w:val="0"/>
          <w:szCs w:val="21"/>
        </w:rPr>
        <w:t>（三）实体CA 证书办理</w:t>
      </w:r>
    </w:p>
    <w:p>
      <w:pPr>
        <w:pStyle w:val="8"/>
        <w:adjustRightInd w:val="0"/>
        <w:snapToGrid w:val="0"/>
        <w:spacing w:beforeAutospacing="0" w:afterAutospacing="0" w:line="360" w:lineRule="exact"/>
        <w:ind w:firstLine="420" w:firstLineChars="200"/>
        <w:rPr>
          <w:rFonts w:ascii="Times New Roman" w:hAnsi="Times New Roman" w:eastAsia="方正仿宋_GBK" w:cs="Times New Roman"/>
          <w:color w:val="000000" w:themeColor="text1"/>
          <w:sz w:val="21"/>
          <w:szCs w:val="21"/>
        </w:rPr>
      </w:pPr>
      <w:r>
        <w:rPr>
          <w:rFonts w:ascii="Times New Roman" w:hAnsi="Times New Roman" w:eastAsia="方正仿宋_GBK" w:cs="Times New Roman"/>
          <w:color w:val="000000" w:themeColor="text1"/>
          <w:sz w:val="21"/>
          <w:szCs w:val="21"/>
        </w:rPr>
        <w:t>申请人可在重庆市公共资源交易网CA互认与办理专栏（网址</w:t>
      </w:r>
      <w:r>
        <w:rPr>
          <w:rFonts w:hint="eastAsia" w:ascii="Times New Roman" w:hAnsi="Times New Roman" w:eastAsia="方正仿宋_GBK" w:cs="Times New Roman"/>
          <w:color w:val="000000" w:themeColor="text1"/>
          <w:sz w:val="21"/>
          <w:szCs w:val="21"/>
        </w:rPr>
        <w:t>：</w:t>
      </w:r>
      <w:r>
        <w:fldChar w:fldCharType="begin"/>
      </w:r>
      <w:r>
        <w:instrText xml:space="preserve"> HYPERLINK "https://www.cqggzy.com/035/" </w:instrText>
      </w:r>
      <w:r>
        <w:fldChar w:fldCharType="separate"/>
      </w:r>
      <w:r>
        <w:rPr>
          <w:rStyle w:val="12"/>
          <w:rFonts w:ascii="Times New Roman" w:hAnsi="Times New Roman" w:eastAsia="方正仿宋_GBK" w:cs="Times New Roman"/>
          <w:color w:val="000000" w:themeColor="text1"/>
          <w:sz w:val="21"/>
          <w:szCs w:val="21"/>
        </w:rPr>
        <w:t>https://www.cqggzy.com/035/</w:t>
      </w:r>
      <w:r>
        <w:rPr>
          <w:rStyle w:val="12"/>
          <w:rFonts w:ascii="Times New Roman" w:hAnsi="Times New Roman" w:eastAsia="方正仿宋_GBK" w:cs="Times New Roman"/>
          <w:color w:val="000000" w:themeColor="text1"/>
          <w:sz w:val="21"/>
          <w:szCs w:val="21"/>
        </w:rPr>
        <w:fldChar w:fldCharType="end"/>
      </w:r>
    </w:p>
    <w:p>
      <w:pPr>
        <w:pStyle w:val="8"/>
        <w:adjustRightInd w:val="0"/>
        <w:snapToGrid w:val="0"/>
        <w:spacing w:beforeAutospacing="0" w:afterAutospacing="0" w:line="360" w:lineRule="exact"/>
        <w:rPr>
          <w:rFonts w:ascii="Times New Roman" w:hAnsi="Times New Roman" w:eastAsia="方正仿宋_GBK" w:cs="Times New Roman"/>
          <w:color w:val="000000" w:themeColor="text1"/>
          <w:sz w:val="21"/>
          <w:szCs w:val="21"/>
        </w:rPr>
      </w:pPr>
      <w:r>
        <w:rPr>
          <w:rFonts w:ascii="Times New Roman" w:hAnsi="Times New Roman" w:eastAsia="方正仿宋_GBK" w:cs="Times New Roman"/>
          <w:color w:val="000000" w:themeColor="text1"/>
          <w:sz w:val="21"/>
          <w:szCs w:val="21"/>
        </w:rPr>
        <w:t>CAenter.html）按照办理须知办理实体CA证书。</w:t>
      </w:r>
    </w:p>
    <w:p>
      <w:pPr>
        <w:pStyle w:val="4"/>
        <w:adjustRightInd w:val="0"/>
        <w:snapToGrid w:val="0"/>
        <w:spacing w:line="360" w:lineRule="exact"/>
        <w:ind w:left="0" w:firstLine="420" w:firstLineChars="200"/>
        <w:rPr>
          <w:rFonts w:ascii="Times New Roman" w:hAnsi="Times New Roman" w:eastAsia="方正仿宋_GBK" w:cs="Times New Roman"/>
          <w:color w:val="252525" w:themeColor="text1" w:themeTint="D9"/>
          <w:sz w:val="21"/>
          <w:szCs w:val="21"/>
          <w:lang w:eastAsia="zh-CN"/>
        </w:rPr>
      </w:pPr>
      <w:r>
        <w:rPr>
          <w:rFonts w:ascii="Times New Roman" w:hAnsi="Times New Roman" w:eastAsia="方正仿宋_GBK" w:cs="Times New Roman"/>
          <w:color w:val="000000" w:themeColor="text1"/>
          <w:sz w:val="21"/>
          <w:szCs w:val="21"/>
          <w:lang w:eastAsia="zh-CN"/>
        </w:rPr>
        <w:t>申请人应妥善保管CA数字证书及其密码，如CA数字证书遗失或者损毁、遗忘或者泄露密码，应及时办理挂失，并重新申领。申请人登记信息有变化的，应及时进行信息变更。</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三、竞买申请人准入条件</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（一）竞买申请人须为依法登记的营利法人或者非营利法人中的事业单位法人； </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（二）竞买申请人属于以下情形之一的不得参与竞买：</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1.在全国矿业权人勘查开采信息管理系统的“矿业权人异常名录”、“矿业权严重失信主体”内的；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2.通过“信用中国”查询，在自然资源部联合惩戒备忘录或重庆市信用惩戒严重失信主体“黑名单”内限制禁止参与矿业权出让的；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3.被吊销勘查许可证且自吊销之日起未满6个月的。</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四、网上报名申请</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本次公开出让的探矿权采取网上报名方式：</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方正仿宋_GBK"/>
          <w:color w:val="252525" w:themeColor="text1" w:themeTint="D9"/>
          <w:szCs w:val="21"/>
        </w:rPr>
        <w:t>（一）报名时限：</w:t>
      </w:r>
      <w:r>
        <w:rPr>
          <w:rFonts w:ascii="Times New Roman" w:hAnsi="Times New Roman" w:eastAsia="方正仿宋_GBK" w:cs="Times New Roman"/>
          <w:color w:val="252525" w:themeColor="text1" w:themeTint="D9"/>
          <w:szCs w:val="21"/>
        </w:rPr>
        <w:t>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14</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09:00时</w:t>
      </w:r>
      <w:r>
        <w:rPr>
          <w:rFonts w:ascii="Times New Roman" w:hAnsi="Times New Roman" w:eastAsia="方正仿宋_GBK" w:cs="Times New Roman"/>
          <w:color w:val="252525" w:themeColor="text1" w:themeTint="D9"/>
          <w:szCs w:val="21"/>
        </w:rPr>
        <w:t>-202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11</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17:00时</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方正楷体_GBK" w:hAnsi="Times New Roman" w:eastAsia="方正楷体_GBK" w:cs="方正楷体_GBK"/>
          <w:color w:val="252525" w:themeColor="text1" w:themeTint="D9"/>
          <w:szCs w:val="21"/>
        </w:rPr>
        <w:t>（二）资料获取：</w:t>
      </w:r>
      <w:r>
        <w:rPr>
          <w:rFonts w:ascii="Times New Roman" w:hAnsi="Times New Roman" w:eastAsia="方正仿宋_GBK" w:cs="Times New Roman"/>
          <w:color w:val="252525" w:themeColor="text1" w:themeTint="D9"/>
          <w:szCs w:val="21"/>
        </w:rPr>
        <w:t>申请人应在报名期限内登录</w:t>
      </w:r>
      <w:r>
        <w:rPr>
          <w:rFonts w:ascii="Times New Roman" w:hAnsi="Times New Roman" w:eastAsia="方正仿宋_GBK" w:cs="Times New Roman"/>
          <w:color w:val="252525" w:themeColor="text1" w:themeTint="D9"/>
          <w:kern w:val="0"/>
          <w:szCs w:val="21"/>
        </w:rPr>
        <w:t>重庆市公共资源交易中心</w:t>
      </w:r>
      <w:r>
        <w:rPr>
          <w:rFonts w:ascii="Times New Roman" w:hAnsi="Times New Roman" w:eastAsia="方正仿宋_GBK" w:cs="Times New Roman"/>
          <w:color w:val="252525" w:themeColor="text1" w:themeTint="D9"/>
          <w:szCs w:val="21"/>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52525" w:themeColor="text1" w:themeTint="D9"/>
          <w:kern w:val="0"/>
          <w:szCs w:val="21"/>
        </w:rPr>
        <w:t>https://td.cqggzy.com/），查阅、下载出让资料。</w:t>
      </w:r>
      <w:r>
        <w:rPr>
          <w:rFonts w:ascii="Times New Roman" w:hAnsi="Times New Roman" w:eastAsia="方正仿宋_GBK" w:cs="Times New Roman"/>
          <w:color w:val="252525" w:themeColor="text1" w:themeTint="D9"/>
          <w:kern w:val="0"/>
          <w:szCs w:val="21"/>
        </w:rPr>
        <w:fldChar w:fldCharType="end"/>
      </w:r>
    </w:p>
    <w:p>
      <w:pPr>
        <w:adjustRightInd w:val="0"/>
        <w:snapToGrid w:val="0"/>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（三）申请资料</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1.《竞买申请书》（原件1份）（附件</w:t>
      </w: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2.工商营业执照副本（复印件1份）；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3.法人身份证明（复印件1份）；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4.法人不能亲自参加的应提供《授权委托书》（原件1份）</w:t>
      </w:r>
      <w:r>
        <w:rPr>
          <w:rFonts w:hint="eastAsia" w:ascii="Times New Roman" w:hAnsi="Times New Roman" w:eastAsia="方正仿宋_GBK" w:cs="Times New Roman"/>
          <w:color w:val="252525" w:themeColor="text1" w:themeTint="D9"/>
          <w:szCs w:val="21"/>
        </w:rPr>
        <w:t>（附件2）；</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5.受托人身份证明（复印件1份）；</w:t>
      </w:r>
    </w:p>
    <w:p>
      <w:pPr>
        <w:adjustRightInd w:val="0"/>
        <w:snapToGrid w:val="0"/>
        <w:spacing w:line="360" w:lineRule="exact"/>
        <w:ind w:firstLine="420" w:firstLineChars="200"/>
        <w:rPr>
          <w:rFonts w:ascii="Times New Roman" w:hAnsi="Times New Roman" w:eastAsia="方正仿宋_GBK" w:cs="Times New Roman"/>
          <w:i/>
          <w:color w:val="252525" w:themeColor="text1" w:themeTint="D9"/>
          <w:szCs w:val="21"/>
          <w:u w:val="single"/>
        </w:rPr>
      </w:pPr>
      <w:r>
        <w:rPr>
          <w:rFonts w:ascii="Times New Roman" w:hAnsi="Times New Roman" w:eastAsia="方正仿宋_GBK" w:cs="Times New Roman"/>
          <w:color w:val="252525" w:themeColor="text1" w:themeTint="D9"/>
          <w:szCs w:val="21"/>
        </w:rPr>
        <w:t>6.竞买申请人签署意见的《出让文件》（原件1份）。</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（四）网上报名</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提交探矿权竞买申请之前，竞买申请人应当仔细阅读《重庆市矿业权网上出让交易规程》《重庆市国有建设用地使用权和矿业权网上交易应急处置暂行规定》、网上交易公告、出让文件和其他相关文件。如对网上交易相关文件及探矿权信息有疑问的，可以向重庆市公共资源交易中心咨询。此次交易不组织对网上出让探矿权的现场踏勘，竞买申请人可自行前往现场踏勘。</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rPr>
        <w:t>CA 证书办理机构</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探矿权现状等无异议，并对可能存在的风险完全接受。</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（五）保证金的交纳及相关规定</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1.竞买保证金由申请人自行支付，不得代交。</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申请人每次提交竞买申请及交纳竞买保证金只对应一宗探矿权，如申请人同时竞买多宗探矿权的，应分别提交申请并按时足额交纳竞买保证金。    </w:t>
      </w:r>
    </w:p>
    <w:p>
      <w:pPr>
        <w:numPr>
          <w:ilvl w:val="255"/>
          <w:numId w:val="0"/>
        </w:num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申请人应于报名期限内交纳竞买保证金人民币</w:t>
      </w:r>
      <w:r>
        <w:rPr>
          <w:rFonts w:hint="eastAsia" w:ascii="Times New Roman" w:hAnsi="Times New Roman" w:eastAsia="方正仿宋_GBK" w:cs="Times New Roman"/>
          <w:szCs w:val="21"/>
        </w:rPr>
        <w:t>2.16</w:t>
      </w:r>
      <w:r>
        <w:rPr>
          <w:rFonts w:ascii="Times New Roman" w:hAnsi="Times New Roman" w:eastAsia="方正仿宋_GBK" w:cs="Times New Roman"/>
          <w:szCs w:val="21"/>
        </w:rPr>
        <w:t>万元（大写：</w:t>
      </w:r>
      <w:r>
        <w:rPr>
          <w:rFonts w:hint="eastAsia" w:ascii="Times New Roman" w:hAnsi="Times New Roman" w:eastAsia="方正仿宋_GBK" w:cs="Times New Roman"/>
          <w:szCs w:val="21"/>
        </w:rPr>
        <w:t>贰</w:t>
      </w:r>
      <w:r>
        <w:rPr>
          <w:rFonts w:ascii="Times New Roman" w:hAnsi="Times New Roman" w:eastAsia="方正仿宋_GBK" w:cs="Times New Roman"/>
          <w:szCs w:val="21"/>
        </w:rPr>
        <w:t>万壹仟</w:t>
      </w:r>
      <w:r>
        <w:rPr>
          <w:rFonts w:hint="eastAsia" w:ascii="Times New Roman" w:hAnsi="Times New Roman" w:eastAsia="方正仿宋_GBK" w:cs="Times New Roman"/>
          <w:szCs w:val="21"/>
        </w:rPr>
        <w:t>陆</w:t>
      </w:r>
      <w:r>
        <w:rPr>
          <w:rFonts w:ascii="Times New Roman" w:hAnsi="Times New Roman" w:eastAsia="方正仿宋_GBK" w:cs="Times New Roman"/>
          <w:szCs w:val="21"/>
        </w:rPr>
        <w:t>佰元整）</w:t>
      </w:r>
      <w:r>
        <w:rPr>
          <w:rFonts w:ascii="Times New Roman" w:hAnsi="Times New Roman" w:eastAsia="方正仿宋_GBK" w:cs="Times New Roman"/>
          <w:color w:val="252525" w:themeColor="text1" w:themeTint="D9"/>
          <w:szCs w:val="21"/>
        </w:rPr>
        <w:t>，竞买保证金交纳时间以银行确认的到账时间为准。竞买保证金到账截止时间为：202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11</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17</w:t>
      </w:r>
      <w:r>
        <w:rPr>
          <w:rFonts w:ascii="Times New Roman" w:hAnsi="Times New Roman" w:eastAsia="方正仿宋_GBK" w:cs="Times New Roman"/>
          <w:color w:val="252525" w:themeColor="text1" w:themeTint="D9"/>
          <w:szCs w:val="21"/>
        </w:rPr>
        <w:t>:00。</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为避免因竞买保证金到账时间延误，影响申请人顺利获取交易竞买资格，建议申请人在报名期限截止时间的1日前交纳竞买保证金。</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4.保证金账户只接受银行转账或电汇方式，不接受现金或现金汇款。</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5.申请人在规定时间内足额交纳了竞买保证金至指定账户的（以保证金到达指定账户时间为准），重庆市国有建设用地使用权和矿业权网上交易系统将自动颁发《保证金到账确认书》。</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如成功竞得，已缴纳的保证金可抵作矿业权出让收益，在出让合同签订后由竞得人向矿产资源所在地的税务部门申报，竞买保证金账户管理单位在规定期限内代竞得人向税务部门缴款；如未竞得，在成交日之后1个工作日内退还保证金及银行同期活期存款利息。</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方正楷体_GBK"/>
          <w:color w:val="252525" w:themeColor="text1" w:themeTint="D9"/>
          <w:szCs w:val="21"/>
        </w:rPr>
        <w:t>（六）网上报名资格审核相关程序：</w:t>
      </w:r>
      <w:r>
        <w:rPr>
          <w:rFonts w:ascii="Times New Roman" w:hAnsi="Times New Roman" w:eastAsia="方正仿宋_GBK" w:cs="Times New Roman"/>
          <w:color w:val="252525"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bookmarkStart w:id="0" w:name="_GoBack"/>
      <w:bookmarkEnd w:id="0"/>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五、确定竞得人的标准和方法</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方正楷体_GBK" w:hAnsi="方正楷体_GBK" w:eastAsia="方正楷体_GBK" w:cs="方正楷体_GBK"/>
          <w:color w:val="252525" w:themeColor="text1" w:themeTint="D9"/>
          <w:szCs w:val="21"/>
        </w:rPr>
        <w:t>（一）网上</w:t>
      </w:r>
      <w:r>
        <w:rPr>
          <w:rFonts w:hint="eastAsia" w:ascii="方正楷体_GBK" w:hAnsi="方正楷体_GBK" w:eastAsia="方正楷体_GBK" w:cs="方正楷体_GBK"/>
          <w:color w:val="252525" w:themeColor="text1" w:themeTint="D9"/>
          <w:kern w:val="0"/>
          <w:szCs w:val="21"/>
        </w:rPr>
        <w:t>拍卖时间：</w:t>
      </w:r>
      <w:r>
        <w:rPr>
          <w:rFonts w:ascii="Times New Roman" w:hAnsi="Times New Roman" w:eastAsia="方正仿宋_GBK" w:cs="Times New Roman"/>
          <w:color w:val="252525" w:themeColor="text1" w:themeTint="D9"/>
          <w:kern w:val="0"/>
          <w:szCs w:val="21"/>
        </w:rPr>
        <w:t>2025年</w:t>
      </w:r>
      <w:r>
        <w:rPr>
          <w:rFonts w:hint="eastAsia" w:ascii="Times New Roman" w:hAnsi="Times New Roman" w:eastAsia="方正仿宋_GBK" w:cs="Times New Roman"/>
          <w:color w:val="252525" w:themeColor="text1" w:themeTint="D9"/>
          <w:kern w:val="0"/>
          <w:szCs w:val="21"/>
        </w:rPr>
        <w:t>4</w:t>
      </w:r>
      <w:r>
        <w:rPr>
          <w:rFonts w:ascii="Times New Roman" w:hAnsi="Times New Roman" w:eastAsia="方正仿宋_GBK" w:cs="Times New Roman"/>
          <w:color w:val="252525" w:themeColor="text1" w:themeTint="D9"/>
          <w:kern w:val="0"/>
          <w:szCs w:val="21"/>
        </w:rPr>
        <w:t>月</w:t>
      </w:r>
      <w:r>
        <w:rPr>
          <w:rFonts w:hint="eastAsia" w:ascii="Times New Roman" w:hAnsi="Times New Roman" w:eastAsia="方正仿宋_GBK" w:cs="Times New Roman"/>
          <w:color w:val="252525" w:themeColor="text1" w:themeTint="D9"/>
          <w:kern w:val="0"/>
          <w:szCs w:val="21"/>
        </w:rPr>
        <w:t>14</w:t>
      </w:r>
      <w:r>
        <w:rPr>
          <w:rFonts w:ascii="Times New Roman" w:hAnsi="Times New Roman" w:eastAsia="方正仿宋_GBK" w:cs="Times New Roman"/>
          <w:color w:val="252525" w:themeColor="text1" w:themeTint="D9"/>
          <w:kern w:val="0"/>
          <w:szCs w:val="21"/>
        </w:rPr>
        <w:t>日</w:t>
      </w:r>
      <w:r>
        <w:rPr>
          <w:rFonts w:hint="eastAsia" w:ascii="Times New Roman" w:hAnsi="Times New Roman" w:eastAsia="方正仿宋_GBK" w:cs="Times New Roman"/>
          <w:color w:val="252525" w:themeColor="text1" w:themeTint="D9"/>
          <w:kern w:val="0"/>
          <w:szCs w:val="21"/>
        </w:rPr>
        <w:t>10:00</w:t>
      </w:r>
      <w:r>
        <w:rPr>
          <w:rFonts w:ascii="Times New Roman" w:hAnsi="Times New Roman" w:eastAsia="方正仿宋_GBK" w:cs="Times New Roman"/>
          <w:color w:val="252525" w:themeColor="text1" w:themeTint="D9"/>
          <w:kern w:val="0"/>
          <w:szCs w:val="21"/>
        </w:rPr>
        <w:t>时</w:t>
      </w:r>
    </w:p>
    <w:p>
      <w:pPr>
        <w:adjustRightInd w:val="0"/>
        <w:snapToGrid w:val="0"/>
        <w:spacing w:line="360" w:lineRule="exact"/>
        <w:ind w:firstLine="420" w:firstLineChars="200"/>
        <w:rPr>
          <w:rFonts w:ascii="方正楷体_GBK" w:hAnsi="方正楷体_GBK" w:eastAsia="方正楷体_GBK" w:cs="方正楷体_GBK"/>
          <w:color w:val="252525" w:themeColor="text1" w:themeTint="D9"/>
          <w:szCs w:val="21"/>
        </w:rPr>
      </w:pPr>
      <w:r>
        <w:rPr>
          <w:rFonts w:hint="eastAsia" w:ascii="方正楷体_GBK" w:hAnsi="方正楷体_GBK" w:eastAsia="方正楷体_GBK" w:cs="方正楷体_GBK"/>
          <w:color w:val="252525" w:themeColor="text1" w:themeTint="D9"/>
          <w:szCs w:val="21"/>
        </w:rPr>
        <w:t>（二）网上拍卖交易：</w:t>
      </w:r>
    </w:p>
    <w:p>
      <w:pPr>
        <w:tabs>
          <w:tab w:val="left" w:pos="2724"/>
        </w:tabs>
        <w:spacing w:line="360" w:lineRule="exact"/>
        <w:ind w:firstLine="420" w:firstLineChars="200"/>
        <w:jc w:val="left"/>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szCs w:val="21"/>
        </w:rPr>
        <w:t>1.</w:t>
      </w:r>
      <w:r>
        <w:rPr>
          <w:rFonts w:hint="eastAsia" w:ascii="Times New Roman" w:hAnsi="Times New Roman" w:eastAsia="方正仿宋_GBK" w:cs="Times New Roman"/>
          <w:color w:val="252525" w:themeColor="text1" w:themeTint="D9"/>
          <w:kern w:val="0"/>
          <w:szCs w:val="21"/>
        </w:rPr>
        <w:t>本次拍卖出让设置有底价，采用网上增价报价的方式，增加幅度为1万元或1万元的整数倍，按照不低于底价的最高价者得原则确定竞得人。拍卖成交后的竞得人按规定即时签订《成交确认书》，成交结果在相关网站公示10个工作日。</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2.获得竞买资格的竞买人通过网上交易系统进行竞价。竞买人应当谨慎报价，报价一经提交，不得修改或撤回。</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网上拍卖时，网上交易系统以4分钟倒计时为竞价时限，若在4分钟倒计时内有新的报价，网上交易系统即从接受新的报价起再重新倒计时。若拍卖开始后，首个4分钟倒计时内均无人报价，则网上拍卖终止，探矿权不成交。</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4.4分钟倒计时截止，网上交易系统将不再接受新的报价，以最后一次报价为最终报价，网上交易系统自动判断竞价是否成功。</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kern w:val="0"/>
          <w:szCs w:val="21"/>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方正楷体_GBK" w:eastAsia="方正楷体_GBK" w:cs="方正楷体_GBK"/>
          <w:color w:val="252525" w:themeColor="text1" w:themeTint="D9"/>
          <w:szCs w:val="21"/>
        </w:rPr>
        <w:t>（三）成交确认书签订：</w:t>
      </w:r>
      <w:r>
        <w:rPr>
          <w:rFonts w:ascii="Times New Roman" w:hAnsi="Times New Roman" w:eastAsia="方正仿宋_GBK" w:cs="Times New Roman"/>
          <w:color w:val="252525" w:themeColor="text1" w:themeTint="D9"/>
          <w:szCs w:val="21"/>
        </w:rPr>
        <w:t>该宗探矿权网上交易实行竞买资格前审制度，竞得入选人须在竞价完成后2个工作日内持《</w:t>
      </w:r>
      <w:r>
        <w:rPr>
          <w:rFonts w:ascii="Times New Roman" w:hAnsi="Times New Roman" w:eastAsia="方正仿宋_GBK" w:cs="Times New Roman"/>
          <w:color w:val="252525" w:themeColor="text1" w:themeTint="D9"/>
          <w:kern w:val="0"/>
          <w:szCs w:val="21"/>
        </w:rPr>
        <w:t>竞得入选人通知书</w:t>
      </w:r>
      <w:r>
        <w:rPr>
          <w:rFonts w:ascii="Times New Roman" w:hAnsi="Times New Roman" w:eastAsia="方正仿宋_GBK" w:cs="Times New Roman"/>
          <w:color w:val="252525" w:themeColor="text1" w:themeTint="D9"/>
          <w:szCs w:val="21"/>
        </w:rPr>
        <w:t>》及报名资料纸质件与重庆市公共资源交易中心签订《探矿权出让成交确认书》。</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方正楷体_GBK" w:eastAsia="方正楷体_GBK" w:cs="方正楷体_GBK"/>
          <w:color w:val="252525" w:themeColor="text1" w:themeTint="D9"/>
          <w:kern w:val="0"/>
          <w:szCs w:val="21"/>
        </w:rPr>
        <w:t>（四）成交公示：</w:t>
      </w:r>
      <w:r>
        <w:rPr>
          <w:rFonts w:ascii="Times New Roman" w:hAnsi="Times New Roman" w:eastAsia="方正仿宋_GBK" w:cs="Times New Roman"/>
          <w:color w:val="252525" w:themeColor="text1" w:themeTint="D9"/>
          <w:kern w:val="0"/>
          <w:szCs w:val="21"/>
        </w:rPr>
        <w:t>拍卖成交后</w:t>
      </w:r>
      <w:r>
        <w:rPr>
          <w:rFonts w:ascii="Times New Roman" w:hAnsi="Times New Roman" w:eastAsia="方正仿宋_GBK" w:cs="Times New Roman"/>
          <w:color w:val="252525" w:themeColor="text1" w:themeTint="D9"/>
          <w:szCs w:val="21"/>
        </w:rPr>
        <w:t>的竞得人按规定即时签订《成交确认书》，成交结果在相关网站公示10个工作日。</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方正楷体_GBK" w:eastAsia="方正楷体_GBK" w:cs="方正楷体_GBK"/>
          <w:color w:val="252525" w:themeColor="text1" w:themeTint="D9"/>
          <w:szCs w:val="21"/>
        </w:rPr>
        <w:t>（五）网上拍卖程序及竞得方式按照《中华人民共和国拍卖法》及重庆市有关规定执行。</w:t>
      </w:r>
      <w:r>
        <w:rPr>
          <w:rFonts w:ascii="Times New Roman" w:hAnsi="Times New Roman" w:eastAsia="方正仿宋_GBK" w:cs="Times New Roman"/>
          <w:color w:val="252525" w:themeColor="text1" w:themeTint="D9"/>
          <w:szCs w:val="21"/>
        </w:rPr>
        <w:t>如在拍卖程序中，本探矿权因监管部门要求需终止交易行为的，在告知竞买人后，退还探矿权竞买人已交纳的竞买保证金。</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六、出让收益的缴纳</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该宗探矿权按照出让收益率形式征收出让收益，在出让合同签订后一次性缴纳确定的成交价部分；在矿山开采时，按矿业权出让收益率（地热：3.6 %至4.7%之间，最终以实际勘查成果为准）逐年缴纳探矿阶段出让收益。</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七、风险提示</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（一）因地质勘查工作实际需要，有关该宗探矿权的用地、用水、用电、公路、环保、基础设施等工作，由竞得人自行负责解决并依法完善相关手续。</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（三）非因出让人过失造成的探矿权损减（包含但不限于勘查区块面积缩减、勘查许可证废止、勘查许可证被吊销、出让合同终止等），出让人已经收取的探矿权出让收益等费用一律不予退还。</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（四）矿产资源勘查有着不可预见的风险，竞买申请人须慎重并自行承担风险。出现包含但不限于下列的情形，出让人不退还已收取的探矿权出让收益等相关费用。</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1.在勘查许可证载明的区块范围和有效期限内,不能找到可供开采的矿产资源；</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2.法律法规修改或国家政策变化、矿产资源规划调整，包括但不限于安全、环境保护、产业政策等要求,对特定探矿手段、选矿方法的限制对探矿权造成不利影响或不能转为采矿权的；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3.以往开展的地质工作、形成的地质勘查资料存在瑕疵。</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（五）网络安全风险提示。申请人或竞得人网上报名行为所产生的法律后果，由申请人或竞得人自行承担。</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1.操作系统请使用Win10及以上；浏览器请使用Edge浏览器，其它操作系统与浏览器可能会影响申请人正常参与网上报名活动。因浏览器使用不当引致的后果由申请人自行承担；</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2.申请人应妥善保管数字证书及其密码，凡在互联网使用数字证书登录交易系统所实施的行为，视为申请人的真实意思表示或经过申请人的合法授权，行为所产生的法律后果及责任由申请人自行承担。</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因网上交易系统出现故障，造成探矿权网上交易出现异常情况的，按照《重庆市国有建设用地使用权和矿业权网上交易应急处置暂行规定》的有关规定进行处置。</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八、违约责任、公共资源交易领域失信联合惩戒相关提示</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（二）有下列情形之一的，视为竞买人、竞得人违约，竞得结果无效，并将其列入失信联合惩戒名单、竞买保证金不予退还，出让方有权不再签订出让合同或解除合同：</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1.竞买人之间串通报价，损害国家利益、社会公共利益或者他人合法权益的；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2.竞买人弄虚作假，骗取交易资格或竞得的；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3.采取行贿或其他不正当手段竞得的；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4.竞得人逾期不签订或者拒绝签订成交确认书的；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5.竞得人逾期不签订或者拒绝签订出让合同的；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6.其他依法应当认定为违约的情形。</w:t>
      </w:r>
    </w:p>
    <w:p>
      <w:pPr>
        <w:adjustRightInd w:val="0"/>
        <w:snapToGrid w:val="0"/>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九、出让合同签订事宜说明</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得人应在取得成交确认书后的15个工作日内，持成交确认书、合同签订申请书及其他相关资料向出让人申请签订《重庆市探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探矿权。合同签订申请资料如下：</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1.探矿权出让合同签订申请书（原件1份）；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2.探矿权成交确认书（复印件1份）；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3.工商营业执照副本（复印件1份）；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4.法人身份证明（复印件1份）；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5.法人不能亲自办理的应提供《授权委托书》（原件1份）；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6.受托人身份证明（复印件1份）；</w:t>
      </w:r>
    </w:p>
    <w:p>
      <w:pPr>
        <w:adjustRightInd w:val="0"/>
        <w:snapToGrid w:val="0"/>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7.按照成交结果完善的《重庆市探矿权出让合同》签章件6份（原件）。</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十、对交易矿业权异议的处理方式</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highlight w:val="yellow"/>
        </w:rPr>
      </w:pPr>
      <w:r>
        <w:rPr>
          <w:rFonts w:ascii="Times New Roman" w:hAnsi="Times New Roman" w:eastAsia="方正仿宋_GBK" w:cs="Times New Roman"/>
          <w:color w:val="252525" w:themeColor="text1" w:themeTint="D9"/>
          <w:szCs w:val="21"/>
        </w:rPr>
        <w:t>对本次出让的探矿权存有异议的，应在</w:t>
      </w:r>
      <w:r>
        <w:rPr>
          <w:rFonts w:hint="eastAsia" w:ascii="Times New Roman" w:hAnsi="Times New Roman" w:eastAsia="方正仿宋_GBK" w:cs="Times New Roman"/>
          <w:color w:val="252525" w:themeColor="text1" w:themeTint="D9"/>
          <w:szCs w:val="21"/>
        </w:rPr>
        <w:t>探矿权出让</w:t>
      </w:r>
      <w:r>
        <w:rPr>
          <w:rFonts w:ascii="Times New Roman" w:hAnsi="Times New Roman" w:eastAsia="方正仿宋_GBK" w:cs="Times New Roman"/>
          <w:color w:val="252525" w:themeColor="text1" w:themeTint="D9"/>
          <w:szCs w:val="21"/>
        </w:rPr>
        <w:t>公告期截止前以书面方式向</w:t>
      </w:r>
      <w:r>
        <w:rPr>
          <w:rFonts w:hint="eastAsia" w:ascii="Times New Roman" w:hAnsi="Times New Roman" w:eastAsia="方正仿宋_GBK" w:cs="Times New Roman"/>
          <w:color w:val="252525" w:themeColor="text1" w:themeTint="D9"/>
          <w:szCs w:val="21"/>
        </w:rPr>
        <w:t>重庆市</w:t>
      </w:r>
      <w:r>
        <w:rPr>
          <w:rFonts w:ascii="Times New Roman" w:hAnsi="Times New Roman" w:eastAsia="方正仿宋_GBK" w:cs="Times New Roman"/>
          <w:color w:val="252525" w:themeColor="text1" w:themeTint="D9"/>
          <w:szCs w:val="21"/>
        </w:rPr>
        <w:t>南川区规划和自然资源局提出（联系人：王老师，联系电话：023-71420530）。根据所提异议的具体情况，按照《矿业权出让交易规则》（自然资规〔2023〕1号）等相关规定进行妥善处置。</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十一、交易中止或终止</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（一）有下列情形之一的，市公共资源交易中心将发布中止网上交易公告，并中止网上交易活动：</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1.公告公示期间发现出让的矿业权权属争议尚未解决的；</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2.竞得人有矿产资源违法行为的行政处罚逾期不履行的；</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3.因不可抗力或者政策变化应当中止交易的其他情形。</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（二）有下列情形之一的，市公共资源交易中心将发布终止网上交易公告，并终止网上交易活动：</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1.出让人因有关政策规定、矿业权出让所依据的客观情况等</w:t>
      </w:r>
    </w:p>
    <w:p>
      <w:pPr>
        <w:adjustRightInd w:val="0"/>
        <w:snapToGrid w:val="0"/>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发生重大变化提出终止交易；</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2.因不可抗力应当终止交易；</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3.法律法规规定的其他情形。</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（三）依法应当中止或者终止网上交易活动的其他情形：</w:t>
      </w:r>
    </w:p>
    <w:p>
      <w:pPr>
        <w:adjustRightInd w:val="0"/>
        <w:snapToGrid w:val="0"/>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pPr>
        <w:adjustRightInd w:val="0"/>
        <w:snapToGrid w:val="0"/>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pPr>
        <w:adjustRightInd w:val="0"/>
        <w:snapToGrid w:val="0"/>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十二、其他重要提示</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（一）竞得人在探矿权区块范围内开展勘查工作应按照《矿山地质环境保护规定》履行矿山地质环境保护相关义务。</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（二）按照国家和重庆市有关规定，本次出让的探矿权在转采矿权后需缴纳采矿权出让收益的应按规定缴纳。</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（三）矿产资源勘查有着不可预见的风险，本宗探矿权出让前期技术报告编制工作使用的技术依据中部分为类比参考，存在一定的不确定和不完整性因素，竞买申请人须自行承担风险。</w:t>
      </w:r>
    </w:p>
    <w:p>
      <w:pPr>
        <w:spacing w:line="360" w:lineRule="exact"/>
        <w:ind w:firstLine="420" w:firstLineChars="200"/>
        <w:rPr>
          <w:rFonts w:ascii="Times New Roman" w:hAnsi="Times New Roman" w:eastAsia="方正仿宋_GBK" w:cs="Times New Roman"/>
          <w:color w:val="252525" w:themeColor="text1" w:themeTint="D9"/>
          <w:szCs w:val="21"/>
        </w:rPr>
      </w:pP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附件：</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《竞买申请书》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2.</w:t>
      </w:r>
      <w:r>
        <w:rPr>
          <w:rFonts w:ascii="Times New Roman" w:hAnsi="Times New Roman" w:eastAsia="方正仿宋_GBK" w:cs="Times New Roman"/>
          <w:color w:val="252525" w:themeColor="text1" w:themeTint="D9"/>
          <w:szCs w:val="21"/>
        </w:rPr>
        <w:t>《授权委托书》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重庆市探矿权出让合同（模板）</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《成交确认书》</w:t>
      </w:r>
    </w:p>
    <w:p>
      <w:pPr>
        <w:spacing w:line="360" w:lineRule="exact"/>
        <w:ind w:firstLine="420" w:firstLineChars="200"/>
        <w:jc w:val="right"/>
        <w:rPr>
          <w:rFonts w:ascii="Times New Roman" w:hAnsi="Times New Roman" w:eastAsia="方正仿宋_GBK" w:cs="Times New Roman"/>
          <w:color w:val="252525" w:themeColor="text1" w:themeTint="D9"/>
          <w:szCs w:val="21"/>
        </w:rPr>
      </w:pPr>
    </w:p>
    <w:p>
      <w:pPr>
        <w:spacing w:line="360" w:lineRule="exact"/>
        <w:ind w:right="420" w:firstLine="420" w:firstLineChars="200"/>
        <w:jc w:val="right"/>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2025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14</w:t>
      </w:r>
      <w:r>
        <w:rPr>
          <w:rFonts w:ascii="Times New Roman" w:hAnsi="Times New Roman" w:eastAsia="方正仿宋_GBK" w:cs="Times New Roman"/>
          <w:color w:val="252525" w:themeColor="text1" w:themeTint="D9"/>
          <w:szCs w:val="21"/>
        </w:rPr>
        <w:t>日</w:t>
      </w:r>
    </w:p>
    <w:tbl>
      <w:tblPr>
        <w:tblStyle w:val="9"/>
        <w:tblpPr w:leftFromText="180" w:rightFromText="180" w:vertAnchor="text" w:horzAnchor="margin" w:tblpXSpec="center" w:tblpY="426"/>
        <w:tblOverlap w:val="never"/>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1" w:hRule="exact"/>
          <w:jc w:val="center"/>
        </w:trPr>
        <w:tc>
          <w:tcPr>
            <w:tcW w:w="8359" w:type="dxa"/>
          </w:tcPr>
          <w:p>
            <w:pPr>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竞买申请人声明：</w:t>
            </w:r>
            <w:r>
              <w:rPr>
                <w:rFonts w:ascii="Times New Roman" w:hAnsi="Times New Roman" w:eastAsia="方正仿宋_GBK" w:cs="Times New Roman"/>
                <w:i/>
                <w:color w:val="252525" w:themeColor="text1" w:themeTint="D9"/>
                <w:szCs w:val="21"/>
                <w:u w:val="single"/>
              </w:rPr>
              <w:t xml:space="preserve">（填写已自行踏勘、知晓、自愿等声明）       </w:t>
            </w:r>
          </w:p>
          <w:p>
            <w:pPr>
              <w:spacing w:line="360" w:lineRule="exact"/>
              <w:rPr>
                <w:rFonts w:ascii="Times New Roman" w:hAnsi="Times New Roman" w:eastAsia="方正仿宋_GBK" w:cs="Times New Roman"/>
                <w:color w:val="252525" w:themeColor="text1" w:themeTint="D9"/>
                <w:szCs w:val="21"/>
                <w:u w:val="single"/>
              </w:rPr>
            </w:pPr>
          </w:p>
          <w:p>
            <w:pPr>
              <w:spacing w:line="360" w:lineRule="exact"/>
              <w:rPr>
                <w:rFonts w:ascii="Times New Roman" w:hAnsi="Times New Roman" w:eastAsia="方正仿宋_GBK" w:cs="Times New Roman"/>
                <w:color w:val="252525" w:themeColor="text1" w:themeTint="D9"/>
                <w:szCs w:val="21"/>
                <w:u w:val="single"/>
              </w:rPr>
            </w:pPr>
          </w:p>
          <w:p>
            <w:pPr>
              <w:spacing w:line="360" w:lineRule="exact"/>
              <w:rPr>
                <w:rFonts w:ascii="Times New Roman" w:hAnsi="Times New Roman" w:eastAsia="方正仿宋_GBK" w:cs="Times New Roman"/>
                <w:color w:val="252525" w:themeColor="text1" w:themeTint="D9"/>
                <w:szCs w:val="21"/>
                <w:u w:val="single"/>
              </w:rPr>
            </w:pPr>
          </w:p>
          <w:p>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竞买申请人（盖章）：</w:t>
            </w:r>
          </w:p>
          <w:p>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法人代表或授权代理人（签名）：</w:t>
            </w:r>
          </w:p>
          <w:p>
            <w:pPr>
              <w:spacing w:line="360" w:lineRule="exact"/>
              <w:jc w:val="center"/>
              <w:rPr>
                <w:rFonts w:ascii="Times New Roman" w:hAnsi="Times New Roman" w:eastAsia="方正仿宋_GBK" w:cs="Times New Roman"/>
                <w:color w:val="252525" w:themeColor="text1" w:themeTint="D9"/>
                <w:szCs w:val="21"/>
              </w:rPr>
            </w:pPr>
          </w:p>
          <w:p>
            <w:pPr>
              <w:spacing w:line="360" w:lineRule="exact"/>
              <w:jc w:val="center"/>
              <w:rPr>
                <w:rFonts w:ascii="Times New Roman" w:hAnsi="Times New Roman" w:eastAsia="方正仿宋_GBK" w:cs="Times New Roman"/>
                <w:color w:val="252525" w:themeColor="text1" w:themeTint="D9"/>
                <w:szCs w:val="21"/>
              </w:rPr>
            </w:pPr>
          </w:p>
          <w:p>
            <w:pPr>
              <w:wordWrap w:val="0"/>
              <w:spacing w:line="360" w:lineRule="exact"/>
              <w:ind w:right="525" w:rightChars="25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年   月  日</w:t>
            </w:r>
          </w:p>
        </w:tc>
      </w:tr>
    </w:tbl>
    <w:p>
      <w:pPr>
        <w:pStyle w:val="2"/>
      </w:pPr>
    </w:p>
    <w:sectPr>
      <w:footerReference r:id="rId3"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5</w:t>
                </w:r>
                <w:r>
                  <w:rPr>
                    <w:rFonts w:ascii="Times New Roman" w:hAnsi="Times New Roman" w:cs="Times New Roman"/>
                    <w:sz w:val="22"/>
                  </w:rPr>
                  <w:fldChar w:fldCharType="end"/>
                </w:r>
                <w:r>
                  <w:rPr>
                    <w:rFonts w:ascii="Times New Roman" w:hAnsi="Times New Roman" w:cs="Times New Roman"/>
                    <w:sz w:val="22"/>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1E4E3A"/>
    <w:rsid w:val="0002273A"/>
    <w:rsid w:val="001645D6"/>
    <w:rsid w:val="00196D0D"/>
    <w:rsid w:val="001E1C18"/>
    <w:rsid w:val="001E4E3A"/>
    <w:rsid w:val="00235374"/>
    <w:rsid w:val="0025120D"/>
    <w:rsid w:val="003F3F0F"/>
    <w:rsid w:val="00427091"/>
    <w:rsid w:val="0048346B"/>
    <w:rsid w:val="004C3051"/>
    <w:rsid w:val="0050032B"/>
    <w:rsid w:val="0053374E"/>
    <w:rsid w:val="005667BF"/>
    <w:rsid w:val="005C4C1E"/>
    <w:rsid w:val="005D5F55"/>
    <w:rsid w:val="006200C0"/>
    <w:rsid w:val="006A37AB"/>
    <w:rsid w:val="006C2067"/>
    <w:rsid w:val="006C557E"/>
    <w:rsid w:val="006F721A"/>
    <w:rsid w:val="00722708"/>
    <w:rsid w:val="0075638C"/>
    <w:rsid w:val="0079200D"/>
    <w:rsid w:val="007D038B"/>
    <w:rsid w:val="00814FBF"/>
    <w:rsid w:val="008150DA"/>
    <w:rsid w:val="00826D7A"/>
    <w:rsid w:val="008B0C56"/>
    <w:rsid w:val="009E1B85"/>
    <w:rsid w:val="009E630C"/>
    <w:rsid w:val="00A07B0C"/>
    <w:rsid w:val="00A767E3"/>
    <w:rsid w:val="00AD1C96"/>
    <w:rsid w:val="00B223D3"/>
    <w:rsid w:val="00B509DE"/>
    <w:rsid w:val="00B558EB"/>
    <w:rsid w:val="00B570A9"/>
    <w:rsid w:val="00B60E9F"/>
    <w:rsid w:val="00BB11F1"/>
    <w:rsid w:val="00BC3F9F"/>
    <w:rsid w:val="00C83500"/>
    <w:rsid w:val="00CB51F9"/>
    <w:rsid w:val="00CC2049"/>
    <w:rsid w:val="00CC459C"/>
    <w:rsid w:val="00CD0A2A"/>
    <w:rsid w:val="00CD7CD8"/>
    <w:rsid w:val="00D24F71"/>
    <w:rsid w:val="00D26E0B"/>
    <w:rsid w:val="00D825CC"/>
    <w:rsid w:val="00DF4CA0"/>
    <w:rsid w:val="00E72C18"/>
    <w:rsid w:val="00EE083D"/>
    <w:rsid w:val="00EE2F60"/>
    <w:rsid w:val="00EE3145"/>
    <w:rsid w:val="0176629F"/>
    <w:rsid w:val="025B197F"/>
    <w:rsid w:val="066907B8"/>
    <w:rsid w:val="09BC3532"/>
    <w:rsid w:val="0D166390"/>
    <w:rsid w:val="0D9A5B29"/>
    <w:rsid w:val="10943E84"/>
    <w:rsid w:val="11311B72"/>
    <w:rsid w:val="15034E43"/>
    <w:rsid w:val="17475AA5"/>
    <w:rsid w:val="18D37FE2"/>
    <w:rsid w:val="19A77D58"/>
    <w:rsid w:val="1A3425FD"/>
    <w:rsid w:val="1A79288E"/>
    <w:rsid w:val="1FB71FAB"/>
    <w:rsid w:val="241049B5"/>
    <w:rsid w:val="26177D67"/>
    <w:rsid w:val="267C058C"/>
    <w:rsid w:val="2C1A602B"/>
    <w:rsid w:val="2C9F1A93"/>
    <w:rsid w:val="2E443B55"/>
    <w:rsid w:val="2F942603"/>
    <w:rsid w:val="2FD25F02"/>
    <w:rsid w:val="30172596"/>
    <w:rsid w:val="31A37EFC"/>
    <w:rsid w:val="34B8296A"/>
    <w:rsid w:val="352C0463"/>
    <w:rsid w:val="38363C23"/>
    <w:rsid w:val="384045D8"/>
    <w:rsid w:val="3BB65FBA"/>
    <w:rsid w:val="443560EB"/>
    <w:rsid w:val="46F873BE"/>
    <w:rsid w:val="47797541"/>
    <w:rsid w:val="47CF5ADF"/>
    <w:rsid w:val="4C950102"/>
    <w:rsid w:val="4DE411E9"/>
    <w:rsid w:val="4FA740BA"/>
    <w:rsid w:val="51304950"/>
    <w:rsid w:val="514F7B3C"/>
    <w:rsid w:val="58643360"/>
    <w:rsid w:val="58D66D92"/>
    <w:rsid w:val="5AC1568D"/>
    <w:rsid w:val="5DB14517"/>
    <w:rsid w:val="5DD12577"/>
    <w:rsid w:val="61AA0229"/>
    <w:rsid w:val="63C15838"/>
    <w:rsid w:val="64B556C7"/>
    <w:rsid w:val="69421CB5"/>
    <w:rsid w:val="6AF54C1A"/>
    <w:rsid w:val="6B1A73A8"/>
    <w:rsid w:val="6D567568"/>
    <w:rsid w:val="6DAE4FD0"/>
    <w:rsid w:val="70E61BC2"/>
    <w:rsid w:val="729E4B62"/>
    <w:rsid w:val="73D658B3"/>
    <w:rsid w:val="74184498"/>
    <w:rsid w:val="75D47D78"/>
    <w:rsid w:val="76202CEA"/>
    <w:rsid w:val="7BBA277B"/>
    <w:rsid w:val="7C1F3C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Body Text"/>
    <w:basedOn w:val="1"/>
    <w:next w:val="1"/>
    <w:qFormat/>
    <w:uiPriority w:val="0"/>
    <w:pPr>
      <w:ind w:left="100" w:firstLine="559"/>
      <w:jc w:val="left"/>
    </w:pPr>
    <w:rPr>
      <w:rFonts w:ascii="宋体" w:hAnsi="宋体"/>
      <w:kern w:val="0"/>
      <w:sz w:val="28"/>
      <w:szCs w:val="28"/>
      <w:lang w:eastAsia="en-US"/>
    </w:rPr>
  </w:style>
  <w:style w:type="paragraph" w:styleId="5">
    <w:name w:val="Balloon Text"/>
    <w:basedOn w:val="1"/>
    <w:link w:val="15"/>
    <w:qFormat/>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szCs w:val="24"/>
    </w:rPr>
  </w:style>
  <w:style w:type="character" w:styleId="11">
    <w:name w:val="Strong"/>
    <w:basedOn w:val="10"/>
    <w:qFormat/>
    <w:uiPriority w:val="22"/>
    <w:rPr>
      <w:b/>
      <w:bCs/>
    </w:rPr>
  </w:style>
  <w:style w:type="character" w:styleId="12">
    <w:name w:val="Hyperlink"/>
    <w:basedOn w:val="10"/>
    <w:uiPriority w:val="0"/>
    <w:rPr>
      <w:color w:val="0563C1" w:themeColor="hyperlink"/>
      <w:u w:val="single"/>
    </w:rPr>
  </w:style>
  <w:style w:type="character" w:customStyle="1" w:styleId="13">
    <w:name w:val="页眉 Char"/>
    <w:basedOn w:val="10"/>
    <w:link w:val="7"/>
    <w:qFormat/>
    <w:uiPriority w:val="0"/>
    <w:rPr>
      <w:rFonts w:asciiTheme="minorHAnsi" w:hAnsiTheme="minorHAnsi" w:eastAsiaTheme="minorEastAsia" w:cstheme="minorBidi"/>
      <w:kern w:val="2"/>
      <w:sz w:val="18"/>
      <w:szCs w:val="18"/>
    </w:rPr>
  </w:style>
  <w:style w:type="character" w:customStyle="1" w:styleId="14">
    <w:name w:val="页脚 Char"/>
    <w:basedOn w:val="10"/>
    <w:link w:val="6"/>
    <w:qFormat/>
    <w:uiPriority w:val="99"/>
    <w:rPr>
      <w:rFonts w:asciiTheme="minorHAnsi" w:hAnsiTheme="minorHAnsi" w:eastAsiaTheme="minorEastAsia" w:cstheme="minorBidi"/>
      <w:kern w:val="2"/>
      <w:sz w:val="18"/>
      <w:szCs w:val="18"/>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913</Words>
  <Characters>5206</Characters>
  <Lines>43</Lines>
  <Paragraphs>12</Paragraphs>
  <TotalTime>96</TotalTime>
  <ScaleCrop>false</ScaleCrop>
  <LinksUpToDate>false</LinksUpToDate>
  <CharactersWithSpaces>6107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2025-03-12T07:30:07Z</cp:lastPrinted>
  <dcterms:modified xsi:type="dcterms:W3CDTF">2025-03-12T07:32:24Z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4E28D25094554BDA9D78319F98BD09E8_13</vt:lpwstr>
  </property>
</Properties>
</file>