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80" w:lineRule="exact"/>
        <w:jc w:val="center"/>
        <w:rPr>
          <w:rFonts w:hint="default" w:ascii="Times New Roman" w:hAnsi="Times New Roman" w:eastAsia="方正小标宋_GBK" w:cs="Times New Roman"/>
          <w:sz w:val="44"/>
          <w:szCs w:val="44"/>
        </w:rPr>
      </w:pPr>
    </w:p>
    <w:p>
      <w:pPr>
        <w:overflowPunct w:val="0"/>
        <w:snapToGrid w:val="0"/>
        <w:spacing w:line="580" w:lineRule="exact"/>
        <w:jc w:val="center"/>
        <w:rPr>
          <w:rFonts w:hint="default" w:ascii="Times New Roman" w:hAnsi="Times New Roman" w:eastAsia="方正小标宋_GBK" w:cs="Times New Roman"/>
          <w:sz w:val="44"/>
          <w:szCs w:val="44"/>
        </w:rPr>
      </w:pPr>
    </w:p>
    <w:p>
      <w:pPr>
        <w:overflowPunct w:val="0"/>
        <w:snapToGrid w:val="0"/>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重庆市规划和自然资源局</w:t>
      </w:r>
    </w:p>
    <w:p>
      <w:pPr>
        <w:overflowPunct w:val="0"/>
        <w:snapToGrid w:val="0"/>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关于规范临时用地管理的通知</w:t>
      </w:r>
    </w:p>
    <w:p>
      <w:pPr>
        <w:overflowPunct w:val="0"/>
        <w:adjustRightInd w:val="0"/>
        <w:snapToGrid w:val="0"/>
        <w:spacing w:line="580" w:lineRule="exact"/>
        <w:jc w:val="cente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渝规资规范〔2022〕1号</w:t>
      </w:r>
    </w:p>
    <w:p>
      <w:pPr>
        <w:overflowPunct w:val="0"/>
        <w:snapToGrid w:val="0"/>
        <w:spacing w:line="580" w:lineRule="exact"/>
        <w:rPr>
          <w:rFonts w:hint="default" w:ascii="Times New Roman" w:hAnsi="Times New Roman" w:eastAsia="方正仿宋_GBK" w:cs="Times New Roman"/>
          <w:sz w:val="32"/>
          <w:szCs w:val="32"/>
        </w:rPr>
      </w:pPr>
    </w:p>
    <w:p>
      <w:pPr>
        <w:overflowPunct w:val="0"/>
        <w:snapToGrid w:val="0"/>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各区县（自治县，含两江新区、重庆高新区、万盛经开区）规划自然资源局，局属各单位，机关各处室，有关单位：</w:t>
      </w:r>
    </w:p>
    <w:p>
      <w:pPr>
        <w:overflowPunct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为进一步加强和规范临时用地管理，根据《土地管理法》《土地管理法实施条例》和《自然资源部关于规范临时用地管理的通知》（自然资规〔2021〕2号）等有关规定，结合我市实际，现就有关事项通知如下：</w:t>
      </w:r>
    </w:p>
    <w:p>
      <w:pPr>
        <w:overflowPunct w:val="0"/>
        <w:snapToGrid w:val="0"/>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一、界定临时用地使用范围</w:t>
      </w:r>
    </w:p>
    <w:p>
      <w:pPr>
        <w:overflowPunct w:val="0"/>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临时用地是指建设项目施工、地质勘查等临时使用，不修建永久性建（构）筑物，使用后可恢复的土地（通过复垦可恢复原地类或者达到可供利用状态）。临时用地具有临时性和可恢复性等特点，与建设项目施工、地质勘查等无关的用地，使用后无法恢复到原地类或者复垦达不到可供利用状态的用地，不得使用临时用地。临时用地的范围包括：</w:t>
      </w:r>
    </w:p>
    <w:p>
      <w:pPr>
        <w:overflowPunct w:val="0"/>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建设项目施工过程中建设的直接服务于施工人员的临时办公和生活用房，包括临时办公用房、生活用房、工棚等使用的土地；直接服务于工程施工的项目自用辅助工程，包括农用地表土剥离堆放场、材料堆场、制梁场、拌合站、钢筋加工场、施工便道、运输便道、地上线路架设、地下管线敷设作业，以及能源、交通、水利等基础设施项目的取土场、弃土（渣）场等使用的土地。</w:t>
      </w:r>
    </w:p>
    <w:p>
      <w:pPr>
        <w:overflowPunct w:val="0"/>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矿产资源勘查、工程地质勘查、水文地质勘查等，在勘查期间临时生活用房、临时工棚、勘查作业及其辅助工程、施工便道、运输便道等使用的土地，包括油气资源勘探开发涉及的钻井井场、配套管线、电力设施、进场道路等钻井及配套设施使用的土地。</w:t>
      </w:r>
    </w:p>
    <w:p>
      <w:pPr>
        <w:overflowPunct w:val="0"/>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考古和文物保护工地建设的临时性文物保护设施、工地安全设施、后勤设施等。</w:t>
      </w:r>
    </w:p>
    <w:p>
      <w:pPr>
        <w:overflowPunct w:val="0"/>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符合法律法规规定的其他需要临时使用的土地。</w:t>
      </w:r>
    </w:p>
    <w:p>
      <w:pPr>
        <w:overflowPunct w:val="0"/>
        <w:adjustRightInd w:val="0"/>
        <w:snapToGrid w:val="0"/>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二、引导临时用地科学合理选址</w:t>
      </w:r>
    </w:p>
    <w:p>
      <w:pPr>
        <w:overflowPunct w:val="0"/>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临时用地应当合理选址，节约集约用地，尽量不占或者少占耕地。使用后土地复垦难度较大的临时用地，要严格控制占用耕地。制梁场、拌合站等难以恢复原种植条件的不得以临时用地方式占用耕地和永久基本农田，可以建设用地方式或者临时占用未利用地方式使用土地。临时用地一般不得占用永久基本农田，确需占用永久基本农田的，必须能够恢复原种植条件，并符合《重庆市规划和自然资源局 重庆市农业农村委员会关于加强和改进永久基本农田保护工作的实施意见》（渝规资规范〔2020〕1号）中申请条件、土壤剥离、复垦验收等有关规定。</w:t>
      </w:r>
    </w:p>
    <w:p>
      <w:pPr>
        <w:overflowPunct w:val="0"/>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临时用地位于能源、交通、水利等工程保护范围内，或者涉及占用林地、草地、湿地以及各类保护区等生态管控区域，在办理临时用地审批手续前，应当按规定取得有关主管部门和管理机构意见，需要进行论证的，还应当按规定进行充分论证。</w:t>
      </w:r>
      <w:r>
        <w:rPr>
          <w:rFonts w:hint="default" w:ascii="Times New Roman" w:hAnsi="Times New Roman" w:eastAsia="方正仿宋_GBK" w:cs="Times New Roman"/>
          <w:bCs/>
          <w:sz w:val="32"/>
          <w:szCs w:val="32"/>
        </w:rPr>
        <w:t>临时用地涉及储备土地的，须取得土地储备机构的同级</w:t>
      </w:r>
      <w:r>
        <w:rPr>
          <w:rFonts w:hint="default" w:ascii="Times New Roman" w:hAnsi="Times New Roman" w:eastAsia="方正仿宋_GBK" w:cs="Times New Roman"/>
          <w:sz w:val="32"/>
          <w:szCs w:val="32"/>
        </w:rPr>
        <w:t>规划自然资源主管部门同意意见。</w:t>
      </w:r>
    </w:p>
    <w:p>
      <w:pPr>
        <w:overflowPunct w:val="0"/>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临时用地选址及有关建设活动应当符合《重庆市地质灾害防治条例》有关规定。对位于地质灾害易发区的，应当按照国家和本市有关规定开展地质灾害危险性评估。在低易发区内修建自用、临时、小型建（构）筑物的，可以不进行地质灾害危险性评估。</w:t>
      </w:r>
    </w:p>
    <w:p>
      <w:pPr>
        <w:overflowPunct w:val="0"/>
        <w:adjustRightInd w:val="0"/>
        <w:snapToGrid w:val="0"/>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三、明确临时用地期限</w:t>
      </w:r>
    </w:p>
    <w:p>
      <w:pPr>
        <w:overflowPunct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临时用地使用期限从批准之日起算，一般不超过2年；建设周期较长的能源、交通、水利等基础设施建设使用的临时用地，期限不超过4年；法律、行政法规另有规定的除外。城镇开发边界内依法应当取得临时建设工程规划许可的，其期限应当与临时用地的期限相衔接。</w:t>
      </w:r>
    </w:p>
    <w:p>
      <w:pPr>
        <w:overflowPunct w:val="0"/>
        <w:adjustRightInd w:val="0"/>
        <w:snapToGrid w:val="0"/>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四、规范临时用地审批</w:t>
      </w:r>
    </w:p>
    <w:p>
      <w:pPr>
        <w:overflowPunct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（一）签订临时使用土地合同。</w:t>
      </w:r>
      <w:r>
        <w:rPr>
          <w:rFonts w:hint="default" w:ascii="Times New Roman" w:hAnsi="Times New Roman" w:eastAsia="方正仿宋_GBK" w:cs="Times New Roman"/>
          <w:sz w:val="32"/>
          <w:szCs w:val="32"/>
        </w:rPr>
        <w:t>临时用地应当根据土地权属，签订临时使用土地合同，明确临时用地的地点、四至范围、面积和现状地类，以及临时使用土地的用途、使用期限、土地复垦标准、补偿费用和支付方式、违约责任等。临时使用集体土地的，临时使用土地合同由临时用地单位与农村集体经济组织、村民委员会签订。临时使用国有土地的，临时使用土地合同由临时用地单位与土地储备机构或者国有土地使用权人签订；涉及未储备或者未确定使用权的国有土地的，临时使用土地合同由临时用地单位与区县（自治县，以下简称区县）规划自然资源主管部门签订。</w:t>
      </w:r>
    </w:p>
    <w:p>
      <w:pPr>
        <w:overflowPunct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（二）落实土地复垦费用。</w:t>
      </w:r>
      <w:r>
        <w:rPr>
          <w:rFonts w:hint="default" w:ascii="Times New Roman" w:hAnsi="Times New Roman" w:eastAsia="方正仿宋_GBK" w:cs="Times New Roman"/>
          <w:sz w:val="32"/>
          <w:szCs w:val="32"/>
        </w:rPr>
        <w:t>临时用地单位应当按照《土地复垦条例》和《土地复垦条例实施办法》等有关规定，编制临时用地土地复垦方案，经区县规划自然资源主管部门审查通过后，按照土地复垦方案确定的资金数额，在与区县规划自然资源主管部门双方约定建立的账户中足额预存土地复垦费用，并与区县规划自然资源主管部门、银行共同签订土地复垦费用使用监管协议。</w:t>
      </w:r>
    </w:p>
    <w:p>
      <w:pPr>
        <w:overflowPunct w:val="0"/>
        <w:spacing w:line="580" w:lineRule="exact"/>
        <w:ind w:firstLine="640" w:firstLineChars="200"/>
        <w:jc w:val="left"/>
        <w:rPr>
          <w:rFonts w:hint="default" w:ascii="Times New Roman" w:hAnsi="Times New Roman" w:cs="Times New Roman"/>
          <w:kern w:val="2"/>
          <w:szCs w:val="22"/>
        </w:rPr>
      </w:pPr>
      <w:r>
        <w:rPr>
          <w:rFonts w:hint="default" w:ascii="Times New Roman" w:hAnsi="Times New Roman" w:eastAsia="方正楷体_GBK" w:cs="Times New Roman"/>
          <w:sz w:val="32"/>
          <w:szCs w:val="32"/>
        </w:rPr>
        <w:t>（三）申请临时用地。</w:t>
      </w:r>
      <w:r>
        <w:rPr>
          <w:rFonts w:hint="default" w:ascii="Times New Roman" w:hAnsi="Times New Roman" w:eastAsia="方正仿宋_GBK" w:cs="Times New Roman"/>
          <w:sz w:val="32"/>
          <w:szCs w:val="32"/>
        </w:rPr>
        <w:t>临时用地单位持附件1所列材料，向区县规划自然资源主管部门提出临时用地申请，申请时应当明确临时用地详细用途及其具体位置。根据项目实施情况，临时用地单位可以分阶段、分批次申请临时用地。临时用地单位应当为项目法人或者地质勘查批准文件、勘查许可证等确定的主体单位。铁路、高速公路等市级以上重点线性工程的临时用地，项目法人可以书面委托施工单位代办临时用地报批手续。</w:t>
      </w:r>
    </w:p>
    <w:p>
      <w:pPr>
        <w:overflowPunct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（四）审批临时用地。</w:t>
      </w:r>
      <w:r>
        <w:rPr>
          <w:rFonts w:hint="default" w:ascii="Times New Roman" w:hAnsi="Times New Roman" w:eastAsia="方正仿宋_GBK" w:cs="Times New Roman"/>
          <w:sz w:val="32"/>
          <w:szCs w:val="32"/>
        </w:rPr>
        <w:t>临时用地（含占用耕地和永久基本农田的情形）由区县规划自然资源主管部门负责审批，不得下放临时用地审批权或者委托相关部门以及乡镇人民政府（街道办事处）行使审批权。临时用地申请资料齐备且符合规定的，区县规划自然资源主管部门应当自受理临时用地申请之日起10个工作日内完成临时用地审批。</w:t>
      </w:r>
    </w:p>
    <w:p>
      <w:pPr>
        <w:overflowPunct w:val="0"/>
        <w:adjustRightInd w:val="0"/>
        <w:snapToGrid w:val="0"/>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五、合理确定临时用地补偿</w:t>
      </w:r>
    </w:p>
    <w:p>
      <w:pPr>
        <w:overflowPunct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临时使用集体土地的，每使用一</w:t>
      </w:r>
      <w:r>
        <w:rPr>
          <w:rFonts w:hint="default" w:ascii="Times New Roman" w:hAnsi="Times New Roman" w:eastAsia="方正仿宋_GBK" w:cs="Times New Roman"/>
          <w:spacing w:val="-6"/>
          <w:sz w:val="32"/>
          <w:szCs w:val="32"/>
        </w:rPr>
        <w:t>年的补偿标准原则上不低于所在区域土地补偿费标准的10%，涉及占用青苗及地上附着物的，还应当对青苗及地上附着物另行一次性补</w:t>
      </w:r>
      <w:r>
        <w:rPr>
          <w:rFonts w:hint="default" w:ascii="Times New Roman" w:hAnsi="Times New Roman" w:eastAsia="方正仿宋_GBK" w:cs="Times New Roman"/>
          <w:sz w:val="32"/>
          <w:szCs w:val="32"/>
        </w:rPr>
        <w:t>偿。</w:t>
      </w:r>
    </w:p>
    <w:p>
      <w:pPr>
        <w:overflowPunct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临时使用国有土地的，补偿费用由合同各方协商确定。</w:t>
      </w:r>
    </w:p>
    <w:p>
      <w:pPr>
        <w:overflowPunct w:val="0"/>
        <w:adjustRightInd w:val="0"/>
        <w:snapToGrid w:val="0"/>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六、落实临时用地恢复责任</w:t>
      </w:r>
    </w:p>
    <w:p>
      <w:pPr>
        <w:overflowPunct w:val="0"/>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（一）切实履行土地复垦责任义务。</w:t>
      </w:r>
      <w:r>
        <w:rPr>
          <w:rFonts w:hint="default" w:ascii="Times New Roman" w:hAnsi="Times New Roman" w:eastAsia="方正仿宋_GBK" w:cs="Times New Roman"/>
          <w:sz w:val="32"/>
          <w:szCs w:val="32"/>
        </w:rPr>
        <w:t>按照“谁使用、谁复垦”的原则，临时用地单位是土地复垦的责任主体。临时用地单位应当将土地复垦费用纳入项目总投资，确保土地复垦费用足额落实到位。在临时使用土地前，临时用地单位要对拟占用的耕地、园地等农用地进行表土剥离和妥善保护，并将其用于土地复垦。临时用地期满后，临时用地单位应当拆除临时建（构）筑物，使用耕地的应当复垦为耕地，确保耕地面积不减少、质量不降低；使用耕地以外的其他农用地的应当恢复为农用地；使用未利用地的，对于符合条件的鼓励复垦为耕地。</w:t>
      </w:r>
    </w:p>
    <w:p>
      <w:pPr>
        <w:overflowPunct w:val="0"/>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（二）严格落实按期复垦要求。</w:t>
      </w:r>
      <w:r>
        <w:rPr>
          <w:rFonts w:hint="default" w:ascii="Times New Roman" w:hAnsi="Times New Roman" w:eastAsia="方正仿宋_GBK" w:cs="Times New Roman"/>
          <w:sz w:val="32"/>
          <w:szCs w:val="32"/>
        </w:rPr>
        <w:t>临时用地单位应当自临时用地期满之日起1年内完成土地复垦。因气候、灾害等不可抗力因素影响复垦的，经区县规划自然资源主管部门批准可以适当延长复垦期限，临时用地单位应当在不晚于不可抗力因素消除后的6个月内完成土地复垦。区县规划自然资源主管部门要依法监督临时用地单位履行复垦义务情况，临时用地期满之日起1年内未完成复垦或者未恢复种植条件的，由区县规划自然资源主管部门责令限期改正；逾期不改正的，责令缴纳复垦费，可以按土地复垦费的2倍以上5倍以下处以罚款，并由区县规划自然资源主管部门会同同级农业农村主管部门代为完成复垦或者恢复种植条件。</w:t>
      </w:r>
    </w:p>
    <w:p>
      <w:pPr>
        <w:overflowPunct w:val="0"/>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（三）及时归还临时使用的土地。</w:t>
      </w:r>
      <w:r>
        <w:rPr>
          <w:rFonts w:hint="default" w:ascii="Times New Roman" w:hAnsi="Times New Roman" w:eastAsia="方正仿宋_GBK" w:cs="Times New Roman"/>
          <w:sz w:val="32"/>
          <w:szCs w:val="32"/>
        </w:rPr>
        <w:t>恢复原地类或者达到可供利用状态后，临时用地单位应当按照临时使用土地合同约定将土地予以归还。临时使用土地期满拒不归还的，由区县规划自然资源主管部门责令交还土地，处以罚款，罚款额为非法占用土地每平方米100元以上500元以下。</w:t>
      </w:r>
    </w:p>
    <w:p>
      <w:pPr>
        <w:overflowPunct w:val="0"/>
        <w:adjustRightInd w:val="0"/>
        <w:snapToGrid w:val="0"/>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七、严格临时用地监管</w:t>
      </w:r>
    </w:p>
    <w:p>
      <w:pPr>
        <w:overflowPunct w:val="0"/>
        <w:snapToGrid w:val="0"/>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（一）构建信息化监管体系。</w:t>
      </w:r>
      <w:r>
        <w:rPr>
          <w:rFonts w:hint="default" w:ascii="Times New Roman" w:hAnsi="Times New Roman" w:eastAsia="方正仿宋_GBK" w:cs="Times New Roman"/>
          <w:sz w:val="32"/>
          <w:szCs w:val="32"/>
        </w:rPr>
        <w:t>临时用地审批纳入国土空间信息平台办理，与土地复垦方案审查、</w:t>
      </w:r>
      <w:bookmarkStart w:id="0" w:name="_GoBack"/>
      <w:bookmarkEnd w:id="0"/>
      <w:r>
        <w:rPr>
          <w:rFonts w:hint="default" w:ascii="Times New Roman" w:hAnsi="Times New Roman" w:eastAsia="方正仿宋_GBK" w:cs="Times New Roman"/>
          <w:sz w:val="32"/>
          <w:szCs w:val="32"/>
        </w:rPr>
        <w:t>复垦监管等信息互联互通，实现综合监测监管。自2022年3月1日起，区县规划自然资源主管部门应当在临时用地批准后20个工作日内，将临时用地的批准文件、合同以及四至范围、土地利用现状照片影像资料信息等传至自然资源部临时用地信息系统完成系统配号。市规划自然资源局将区县临时用地复垦工作纳入耕地保护责任目标考核。区县规划自然资源主管部门要督促临时用地单位依法开展土地复垦工作，并在信息系统中及时更新土地复垦等信息。按年度统计，区县范围内的临时用地，超期1年以上未完成土地复垦规模达到应复垦规模20%以上的，市规划自然资源局将要求所在区县暂停审批新的临时用地，根据整改情况恢复审批。</w:t>
      </w:r>
    </w:p>
    <w:p>
      <w:pPr>
        <w:overflowPunct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（二）严格落实巡查抽查制度。</w:t>
      </w:r>
      <w:r>
        <w:rPr>
          <w:rFonts w:hint="default" w:ascii="Times New Roman" w:hAnsi="Times New Roman" w:eastAsia="方正仿宋_GBK" w:cs="Times New Roman"/>
          <w:sz w:val="32"/>
          <w:szCs w:val="32"/>
        </w:rPr>
        <w:t>区县规划自然资源主管部门要加强对临时用地使用监督检查，落实责任主体，建立日常巡查监管机制，形成从区县到乡镇（街道）、村社的网格监管体系。区县规划自然资源主管部门至少每季度组织1次全覆盖巡查；乡镇规划自然资源所每月开展巡查检查；农村集体经济组织和村民委员会应当监督临时用地单位按照临时使用土地合同约定使用土地，发现以临时用地为名修建永久性建筑物，批少占多、批甲占乙以及转让、出租、抵押临时用地等问题，及时向区县规划自然资源主管部门反映，确保早发现、早制止。市规划自然资源局定期抽查占用耕地和永久基本农田临时用地的使用和复垦情况，对不符合用地要求和未完成复垦任务的，予以公开通报。</w:t>
      </w:r>
    </w:p>
    <w:p>
      <w:pPr>
        <w:overflowPunct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（三）加强社会监督。</w:t>
      </w:r>
      <w:r>
        <w:rPr>
          <w:rFonts w:hint="default" w:ascii="Times New Roman" w:hAnsi="Times New Roman" w:eastAsia="方正仿宋_GBK" w:cs="Times New Roman"/>
          <w:sz w:val="32"/>
          <w:szCs w:val="32"/>
        </w:rPr>
        <w:t>区县规划自然资源主管部门应当通过部门网站主动公开临时用地相关法律法规政策和临时用地批准信息。临时用地批准后，区县规划自然资源主管部门要指导临时用地单位在项目现场显著位置设立临时用地公示牌，公示牌应当包含项目名称、临时用地单位、用地面积、详细用途、使用期限以及举报电话和邮箱等内容，接受公众监督。市、区县规划自然资源主管部门要严肃查处违法违规审批、使用临时用地，未按照批准内容进行临时建设，临时用地超出复垦期限未完成复垦以及临时用地期满拒不归还土地等行为，处理结果向社会公开通报，并依规依纪依法移送问题线索，追究责任人的责任。</w:t>
      </w:r>
    </w:p>
    <w:p>
      <w:pPr>
        <w:overflowPunct w:val="0"/>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本文件自2022年2月23日起执行。</w:t>
      </w:r>
    </w:p>
    <w:p>
      <w:pPr>
        <w:pStyle w:val="3"/>
        <w:overflowPunct w:val="0"/>
        <w:spacing w:line="580" w:lineRule="exact"/>
        <w:ind w:firstLine="420"/>
        <w:rPr>
          <w:rFonts w:hint="default" w:ascii="Times New Roman" w:hAnsi="Times New Roman" w:cs="Times New Roman"/>
          <w:lang w:eastAsia="zh-CN"/>
        </w:rPr>
      </w:pPr>
    </w:p>
    <w:p>
      <w:pPr>
        <w:overflowPunct w:val="0"/>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附件：1．临时用地申请材料清单</w:t>
      </w:r>
    </w:p>
    <w:p>
      <w:pPr>
        <w:overflowPunct w:val="0"/>
        <w:snapToGrid w:val="0"/>
        <w:spacing w:line="580" w:lineRule="exact"/>
        <w:ind w:firstLine="1619" w:firstLineChars="50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2．临时用地申请表</w:t>
      </w:r>
    </w:p>
    <w:p>
      <w:pPr>
        <w:overflowPunct w:val="0"/>
        <w:snapToGrid w:val="0"/>
        <w:spacing w:line="580" w:lineRule="exact"/>
        <w:ind w:right="722" w:rightChars="344"/>
        <w:jc w:val="right"/>
        <w:rPr>
          <w:rFonts w:hint="default" w:ascii="Times New Roman" w:hAnsi="Times New Roman" w:eastAsia="方正仿宋_GBK" w:cs="Times New Roman"/>
          <w:bCs/>
          <w:sz w:val="32"/>
          <w:szCs w:val="32"/>
        </w:rPr>
      </w:pPr>
    </w:p>
    <w:p>
      <w:pPr>
        <w:overflowPunct w:val="0"/>
        <w:snapToGrid w:val="0"/>
        <w:spacing w:line="580" w:lineRule="exact"/>
        <w:ind w:right="722" w:rightChars="344"/>
        <w:jc w:val="righ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重庆市规划和自然资源局</w:t>
      </w:r>
    </w:p>
    <w:p>
      <w:pPr>
        <w:overflowPunct w:val="0"/>
        <w:snapToGrid w:val="0"/>
        <w:spacing w:line="580" w:lineRule="exact"/>
        <w:ind w:right="1283" w:rightChars="611"/>
        <w:jc w:val="righ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2022年2月22日</w:t>
      </w:r>
    </w:p>
    <w:p>
      <w:pPr>
        <w:overflowPunct w:val="0"/>
        <w:snapToGrid w:val="0"/>
        <w:spacing w:line="560" w:lineRule="exact"/>
        <w:rPr>
          <w:rFonts w:hint="default" w:ascii="Times New Roman" w:hAnsi="Times New Roman" w:eastAsia="方正黑体_GBK" w:cs="Times New Roman"/>
          <w:sz w:val="32"/>
          <w:szCs w:val="32"/>
        </w:rPr>
      </w:pPr>
    </w:p>
    <w:p>
      <w:pPr>
        <w:pStyle w:val="14"/>
        <w:widowControl w:val="0"/>
        <w:overflowPunct w:val="0"/>
        <w:rPr>
          <w:rFonts w:hint="default" w:ascii="Times New Roman" w:hAnsi="Times New Roman" w:cs="Times New Roman"/>
        </w:rPr>
      </w:pPr>
    </w:p>
    <w:p>
      <w:pPr>
        <w:pStyle w:val="14"/>
        <w:widowControl w:val="0"/>
        <w:overflowPunct w:val="0"/>
        <w:rPr>
          <w:rFonts w:hint="default" w:ascii="Times New Roman" w:hAnsi="Times New Roman" w:cs="Times New Roman"/>
        </w:rPr>
      </w:pPr>
    </w:p>
    <w:p>
      <w:pPr>
        <w:overflowPunct w:val="0"/>
        <w:snapToGrid w:val="0"/>
        <w:spacing w:line="594"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overflowPunct w:val="0"/>
        <w:snapToGrid w:val="0"/>
        <w:spacing w:line="594" w:lineRule="exact"/>
        <w:rPr>
          <w:rFonts w:hint="default" w:ascii="Times New Roman" w:hAnsi="Times New Roman" w:eastAsia="方正黑体_GBK" w:cs="Times New Roman"/>
          <w:sz w:val="32"/>
          <w:szCs w:val="32"/>
        </w:rPr>
      </w:pPr>
    </w:p>
    <w:p>
      <w:pPr>
        <w:overflowPunct w:val="0"/>
        <w:snapToGrid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临时用地申请材料清单</w:t>
      </w:r>
    </w:p>
    <w:p>
      <w:pPr>
        <w:overflowPunct w:val="0"/>
        <w:snapToGrid w:val="0"/>
        <w:spacing w:line="594" w:lineRule="exact"/>
        <w:ind w:firstLine="640" w:firstLineChars="200"/>
        <w:rPr>
          <w:rFonts w:hint="default" w:ascii="Times New Roman" w:hAnsi="Times New Roman" w:eastAsia="方正仿宋_GBK" w:cs="Times New Roman"/>
          <w:sz w:val="32"/>
          <w:szCs w:val="32"/>
        </w:rPr>
      </w:pPr>
    </w:p>
    <w:p>
      <w:pPr>
        <w:overflowPunct w:val="0"/>
        <w:snapToGrid w:val="0"/>
        <w:spacing w:line="594" w:lineRule="exact"/>
        <w:ind w:left="1173" w:leftChars="303" w:hanging="537" w:hangingChars="168"/>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1．工程建设项目审批（核准、备案）或者地质勘查批准文件、勘查许可证等项目依据文件；</w:t>
      </w:r>
    </w:p>
    <w:p>
      <w:pPr>
        <w:overflowPunct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2．临时用地申请表；</w:t>
      </w:r>
    </w:p>
    <w:p>
      <w:pPr>
        <w:overflowPunct w:val="0"/>
        <w:snapToGrid w:val="0"/>
        <w:spacing w:line="594" w:lineRule="exact"/>
        <w:ind w:left="1116" w:leftChars="303" w:hanging="480" w:hanging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3．勘测定界成果（土地勘测定界技术报告书、勘测定界图、</w:t>
      </w:r>
      <w:r>
        <w:rPr>
          <w:rFonts w:hint="default" w:ascii="Times New Roman" w:hAnsi="Times New Roman" w:eastAsia="方正仿宋_GBK" w:cs="Times New Roman"/>
          <w:bCs/>
          <w:sz w:val="32"/>
          <w:szCs w:val="32"/>
        </w:rPr>
        <w:t>细分至详细用途的</w:t>
      </w:r>
      <w:r>
        <w:rPr>
          <w:rFonts w:hint="default" w:ascii="Times New Roman" w:hAnsi="Times New Roman" w:eastAsia="方正仿宋_GBK" w:cs="Times New Roman"/>
          <w:sz w:val="32"/>
          <w:szCs w:val="32"/>
        </w:rPr>
        <w:t>2000国家大地坐标系</w:t>
      </w:r>
      <w:r>
        <w:rPr>
          <w:rFonts w:hint="default" w:ascii="Times New Roman" w:hAnsi="Times New Roman" w:eastAsia="方正仿宋_GBK" w:cs="Times New Roman"/>
          <w:bCs/>
          <w:sz w:val="32"/>
          <w:szCs w:val="32"/>
        </w:rPr>
        <w:t>界址点txt坐标成果</w:t>
      </w:r>
      <w:r>
        <w:rPr>
          <w:rFonts w:hint="default" w:ascii="Times New Roman" w:hAnsi="Times New Roman" w:eastAsia="方正仿宋_GBK" w:cs="Times New Roman"/>
          <w:sz w:val="32"/>
          <w:szCs w:val="32"/>
        </w:rPr>
        <w:t>）；</w:t>
      </w:r>
    </w:p>
    <w:p>
      <w:pPr>
        <w:overflowPunct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4．土地权属资料；</w:t>
      </w:r>
    </w:p>
    <w:p>
      <w:pPr>
        <w:overflowPunct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5．土地利用现状照片；</w:t>
      </w:r>
    </w:p>
    <w:p>
      <w:pPr>
        <w:overflowPunct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6．临时使用土地合同；</w:t>
      </w:r>
    </w:p>
    <w:p>
      <w:pPr>
        <w:overflowPunct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7．土地复垦方案报告表及其审查意见书；</w:t>
      </w:r>
    </w:p>
    <w:p>
      <w:pPr>
        <w:overflowPunct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8．预存土地复垦费用凭证及使用监管协议；</w:t>
      </w:r>
    </w:p>
    <w:p>
      <w:pPr>
        <w:overflowPunct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9．其他必要的材料。</w:t>
      </w:r>
    </w:p>
    <w:p>
      <w:pPr>
        <w:pStyle w:val="14"/>
        <w:widowControl w:val="0"/>
        <w:overflowPunct w:val="0"/>
        <w:rPr>
          <w:rFonts w:hint="default" w:ascii="Times New Roman" w:hAnsi="Times New Roman" w:cs="Times New Roman"/>
        </w:rPr>
      </w:pPr>
    </w:p>
    <w:p>
      <w:pPr>
        <w:pStyle w:val="14"/>
        <w:widowControl w:val="0"/>
        <w:overflowPunct w:val="0"/>
        <w:rPr>
          <w:rFonts w:hint="default" w:ascii="Times New Roman" w:hAnsi="Times New Roman" w:cs="Times New Roman"/>
        </w:rPr>
      </w:pPr>
    </w:p>
    <w:p>
      <w:pPr>
        <w:pStyle w:val="14"/>
        <w:widowControl w:val="0"/>
        <w:overflowPunct w:val="0"/>
        <w:rPr>
          <w:rFonts w:hint="default" w:ascii="Times New Roman" w:hAnsi="Times New Roman" w:cs="Times New Roman"/>
        </w:rPr>
      </w:pPr>
    </w:p>
    <w:p>
      <w:pPr>
        <w:pStyle w:val="14"/>
        <w:widowControl w:val="0"/>
        <w:overflowPunct w:val="0"/>
        <w:rPr>
          <w:rFonts w:hint="default" w:ascii="Times New Roman" w:hAnsi="Times New Roman" w:cs="Times New Roman"/>
        </w:rPr>
      </w:pPr>
    </w:p>
    <w:p>
      <w:pPr>
        <w:pStyle w:val="14"/>
        <w:widowControl w:val="0"/>
        <w:overflowPunct w:val="0"/>
        <w:rPr>
          <w:rFonts w:hint="default" w:ascii="Times New Roman" w:hAnsi="Times New Roman" w:cs="Times New Roman"/>
        </w:rPr>
      </w:pPr>
    </w:p>
    <w:p>
      <w:pPr>
        <w:pStyle w:val="14"/>
        <w:widowControl w:val="0"/>
        <w:overflowPunct w:val="0"/>
        <w:rPr>
          <w:rFonts w:hint="default" w:ascii="Times New Roman" w:hAnsi="Times New Roman" w:cs="Times New Roman"/>
        </w:rPr>
      </w:pPr>
    </w:p>
    <w:p>
      <w:pPr>
        <w:pStyle w:val="14"/>
        <w:widowControl w:val="0"/>
        <w:overflowPunct w:val="0"/>
        <w:rPr>
          <w:rFonts w:hint="default" w:ascii="Times New Roman" w:hAnsi="Times New Roman" w:cs="Times New Roman"/>
        </w:rPr>
      </w:pPr>
    </w:p>
    <w:p>
      <w:pPr>
        <w:pStyle w:val="14"/>
        <w:widowControl w:val="0"/>
        <w:overflowPunct w:val="0"/>
        <w:rPr>
          <w:rFonts w:hint="default" w:ascii="Times New Roman" w:hAnsi="Times New Roman" w:cs="Times New Roman"/>
        </w:rPr>
      </w:pPr>
    </w:p>
    <w:p>
      <w:pPr>
        <w:pStyle w:val="14"/>
        <w:widowControl w:val="0"/>
        <w:overflowPunct w:val="0"/>
        <w:rPr>
          <w:rFonts w:hint="default" w:ascii="Times New Roman" w:hAnsi="Times New Roman" w:cs="Times New Roman"/>
        </w:rPr>
      </w:pPr>
    </w:p>
    <w:p>
      <w:pPr>
        <w:overflowPunct w:val="0"/>
        <w:spacing w:line="360" w:lineRule="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overflowPunct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临时用地申请表</w:t>
      </w:r>
    </w:p>
    <w:p>
      <w:pPr>
        <w:overflowPunct w:val="0"/>
        <w:jc w:val="center"/>
        <w:rPr>
          <w:rFonts w:hint="default" w:ascii="Times New Roman" w:hAnsi="Times New Roman" w:cs="Times New Roman"/>
          <w:sz w:val="24"/>
        </w:rPr>
      </w:pPr>
    </w:p>
    <w:tbl>
      <w:tblPr>
        <w:tblStyle w:val="9"/>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2"/>
        <w:gridCol w:w="1772"/>
        <w:gridCol w:w="2671"/>
        <w:gridCol w:w="2160"/>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4" w:hRule="atLeast"/>
          <w:jc w:val="center"/>
        </w:trPr>
        <w:tc>
          <w:tcPr>
            <w:tcW w:w="662" w:type="dxa"/>
            <w:vMerge w:val="restart"/>
            <w:tcBorders>
              <w:left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临时</w:t>
            </w:r>
          </w:p>
          <w:p>
            <w:pPr>
              <w:overflowPunct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用地</w:t>
            </w:r>
          </w:p>
          <w:p>
            <w:pPr>
              <w:overflowPunct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单位</w:t>
            </w:r>
          </w:p>
          <w:p>
            <w:pPr>
              <w:overflowPunct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情况</w:t>
            </w:r>
          </w:p>
        </w:tc>
        <w:tc>
          <w:tcPr>
            <w:tcW w:w="1772" w:type="dxa"/>
            <w:tcBorders>
              <w:left w:val="single" w:color="auto" w:sz="4" w:space="0"/>
            </w:tcBorders>
            <w:noWrap w:val="0"/>
            <w:vAlign w:val="center"/>
          </w:tcPr>
          <w:p>
            <w:pPr>
              <w:overflowPunct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单位名称</w:t>
            </w:r>
          </w:p>
        </w:tc>
        <w:tc>
          <w:tcPr>
            <w:tcW w:w="7120" w:type="dxa"/>
            <w:gridSpan w:val="3"/>
            <w:tcBorders>
              <w:bottom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2"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sz w:val="24"/>
              </w:rPr>
            </w:pPr>
          </w:p>
        </w:tc>
        <w:tc>
          <w:tcPr>
            <w:tcW w:w="1772" w:type="dxa"/>
            <w:tcBorders>
              <w:left w:val="single" w:color="auto" w:sz="4" w:space="0"/>
            </w:tcBorders>
            <w:noWrap w:val="0"/>
            <w:vAlign w:val="center"/>
          </w:tcPr>
          <w:p>
            <w:pPr>
              <w:overflowPunct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统一社会信用</w:t>
            </w:r>
          </w:p>
          <w:p>
            <w:pPr>
              <w:overflowPunct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代码</w:t>
            </w:r>
          </w:p>
        </w:tc>
        <w:tc>
          <w:tcPr>
            <w:tcW w:w="7120" w:type="dxa"/>
            <w:gridSpan w:val="3"/>
            <w:tcBorders>
              <w:bottom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8"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sz w:val="24"/>
              </w:rPr>
            </w:pPr>
          </w:p>
        </w:tc>
        <w:tc>
          <w:tcPr>
            <w:tcW w:w="1772" w:type="dxa"/>
            <w:tcBorders>
              <w:left w:val="single" w:color="auto" w:sz="4" w:space="0"/>
            </w:tcBorders>
            <w:noWrap w:val="0"/>
            <w:vAlign w:val="center"/>
          </w:tcPr>
          <w:p>
            <w:pPr>
              <w:overflowPunct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地址</w:t>
            </w:r>
          </w:p>
        </w:tc>
        <w:tc>
          <w:tcPr>
            <w:tcW w:w="7120" w:type="dxa"/>
            <w:gridSpan w:val="3"/>
            <w:tcBorders>
              <w:bottom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8"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sz w:val="24"/>
              </w:rPr>
            </w:pPr>
          </w:p>
        </w:tc>
        <w:tc>
          <w:tcPr>
            <w:tcW w:w="1772" w:type="dxa"/>
            <w:tcBorders>
              <w:left w:val="single" w:color="auto" w:sz="4" w:space="0"/>
              <w:bottom w:val="single" w:color="auto" w:sz="4" w:space="0"/>
            </w:tcBorders>
            <w:noWrap w:val="0"/>
            <w:vAlign w:val="center"/>
          </w:tcPr>
          <w:p>
            <w:pPr>
              <w:overflowPunct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w:t>
            </w:r>
          </w:p>
        </w:tc>
        <w:tc>
          <w:tcPr>
            <w:tcW w:w="7120" w:type="dxa"/>
            <w:gridSpan w:val="3"/>
            <w:tcBorders>
              <w:bottom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sz w:val="24"/>
              </w:rPr>
            </w:pPr>
          </w:p>
        </w:tc>
        <w:tc>
          <w:tcPr>
            <w:tcW w:w="1772" w:type="dxa"/>
            <w:tcBorders>
              <w:left w:val="single" w:color="auto" w:sz="4" w:space="0"/>
              <w:bottom w:val="single" w:color="auto" w:sz="4" w:space="0"/>
              <w:right w:val="single" w:color="auto" w:sz="4" w:space="0"/>
            </w:tcBorders>
            <w:noWrap w:val="0"/>
            <w:vAlign w:val="center"/>
          </w:tcPr>
          <w:p>
            <w:pPr>
              <w:overflowPunct w:val="0"/>
              <w:ind w:firstLine="360" w:firstLineChars="15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单位联系人</w:t>
            </w:r>
          </w:p>
        </w:tc>
        <w:tc>
          <w:tcPr>
            <w:tcW w:w="2671" w:type="dxa"/>
            <w:tcBorders>
              <w:left w:val="single" w:color="auto" w:sz="4" w:space="0"/>
              <w:bottom w:val="single" w:color="auto" w:sz="4" w:space="0"/>
              <w:right w:val="single" w:color="auto" w:sz="4" w:space="0"/>
            </w:tcBorders>
            <w:noWrap w:val="0"/>
            <w:vAlign w:val="center"/>
          </w:tcPr>
          <w:p>
            <w:pPr>
              <w:overflowPunct w:val="0"/>
              <w:ind w:firstLine="360" w:firstLineChars="150"/>
              <w:jc w:val="center"/>
              <w:rPr>
                <w:rFonts w:hint="default" w:ascii="Times New Roman" w:hAnsi="Times New Roman" w:eastAsia="方正仿宋_GBK" w:cs="Times New Roman"/>
                <w:sz w:val="24"/>
              </w:rPr>
            </w:pPr>
          </w:p>
        </w:tc>
        <w:tc>
          <w:tcPr>
            <w:tcW w:w="2160" w:type="dxa"/>
            <w:tcBorders>
              <w:left w:val="single" w:color="auto" w:sz="4" w:space="0"/>
              <w:bottom w:val="single" w:color="auto" w:sz="4" w:space="0"/>
              <w:right w:val="single" w:color="auto" w:sz="4" w:space="0"/>
            </w:tcBorders>
            <w:noWrap w:val="0"/>
            <w:vAlign w:val="center"/>
          </w:tcPr>
          <w:p>
            <w:pPr>
              <w:overflowPunct w:val="0"/>
              <w:ind w:firstLine="360" w:firstLineChars="15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联系电话</w:t>
            </w:r>
          </w:p>
        </w:tc>
        <w:tc>
          <w:tcPr>
            <w:tcW w:w="2289" w:type="dxa"/>
            <w:tcBorders>
              <w:left w:val="single" w:color="auto" w:sz="4" w:space="0"/>
              <w:bottom w:val="single" w:color="auto" w:sz="4" w:space="0"/>
              <w:right w:val="single" w:color="auto" w:sz="4" w:space="0"/>
            </w:tcBorders>
            <w:noWrap w:val="0"/>
            <w:vAlign w:val="center"/>
          </w:tcPr>
          <w:p>
            <w:pPr>
              <w:overflowPunct w:val="0"/>
              <w:ind w:firstLine="360" w:firstLineChars="150"/>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62" w:type="dxa"/>
            <w:vMerge w:val="restart"/>
            <w:tcBorders>
              <w:left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项目概况</w:t>
            </w:r>
          </w:p>
        </w:tc>
        <w:tc>
          <w:tcPr>
            <w:tcW w:w="1772" w:type="dxa"/>
            <w:tcBorders>
              <w:left w:val="single" w:color="auto" w:sz="4" w:space="0"/>
              <w:bottom w:val="single" w:color="auto" w:sz="4" w:space="0"/>
              <w:right w:val="single" w:color="auto" w:sz="4" w:space="0"/>
            </w:tcBorders>
            <w:noWrap w:val="0"/>
            <w:vAlign w:val="center"/>
          </w:tcPr>
          <w:p>
            <w:pPr>
              <w:overflowPunct w:val="0"/>
              <w:ind w:firstLine="360" w:firstLineChars="15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项目类型</w:t>
            </w:r>
          </w:p>
        </w:tc>
        <w:tc>
          <w:tcPr>
            <w:tcW w:w="7120" w:type="dxa"/>
            <w:gridSpan w:val="3"/>
            <w:tcBorders>
              <w:left w:val="single" w:color="auto" w:sz="4" w:space="0"/>
              <w:bottom w:val="single" w:color="auto" w:sz="4" w:space="0"/>
              <w:right w:val="single" w:color="auto" w:sz="4" w:space="0"/>
            </w:tcBorders>
            <w:noWrap w:val="0"/>
            <w:vAlign w:val="center"/>
          </w:tcPr>
          <w:p>
            <w:pPr>
              <w:overflowPunct w:val="0"/>
              <w:ind w:firstLine="360" w:firstLineChars="15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□能源交通水利等基础设施项目    □其他项目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sz w:val="24"/>
              </w:rPr>
            </w:pPr>
          </w:p>
        </w:tc>
        <w:tc>
          <w:tcPr>
            <w:tcW w:w="1772" w:type="dxa"/>
            <w:tcBorders>
              <w:left w:val="single" w:color="auto" w:sz="4" w:space="0"/>
              <w:bottom w:val="single" w:color="auto" w:sz="4" w:space="0"/>
              <w:right w:val="single" w:color="auto" w:sz="4" w:space="0"/>
            </w:tcBorders>
            <w:noWrap w:val="0"/>
            <w:vAlign w:val="center"/>
          </w:tcPr>
          <w:p>
            <w:pPr>
              <w:overflowPunct w:val="0"/>
              <w:ind w:firstLine="360" w:firstLineChars="15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p>
        </w:tc>
        <w:tc>
          <w:tcPr>
            <w:tcW w:w="2671" w:type="dxa"/>
            <w:tcBorders>
              <w:left w:val="single" w:color="auto" w:sz="4" w:space="0"/>
              <w:bottom w:val="single" w:color="auto" w:sz="4" w:space="0"/>
              <w:right w:val="single" w:color="auto" w:sz="4" w:space="0"/>
            </w:tcBorders>
            <w:noWrap w:val="0"/>
            <w:vAlign w:val="center"/>
          </w:tcPr>
          <w:p>
            <w:pPr>
              <w:overflowPunct w:val="0"/>
              <w:ind w:firstLine="360" w:firstLineChars="150"/>
              <w:jc w:val="center"/>
              <w:rPr>
                <w:rFonts w:hint="default" w:ascii="Times New Roman" w:hAnsi="Times New Roman" w:eastAsia="方正仿宋_GBK" w:cs="Times New Roman"/>
                <w:sz w:val="24"/>
              </w:rPr>
            </w:pPr>
          </w:p>
        </w:tc>
        <w:tc>
          <w:tcPr>
            <w:tcW w:w="2160" w:type="dxa"/>
            <w:tcBorders>
              <w:left w:val="single" w:color="auto" w:sz="4" w:space="0"/>
              <w:bottom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投资项目统一代码</w:t>
            </w:r>
          </w:p>
        </w:tc>
        <w:tc>
          <w:tcPr>
            <w:tcW w:w="2289" w:type="dxa"/>
            <w:tcBorders>
              <w:left w:val="single" w:color="auto" w:sz="4" w:space="0"/>
              <w:bottom w:val="single" w:color="auto" w:sz="4" w:space="0"/>
              <w:right w:val="single" w:color="auto" w:sz="4" w:space="0"/>
            </w:tcBorders>
            <w:noWrap w:val="0"/>
            <w:vAlign w:val="center"/>
          </w:tcPr>
          <w:p>
            <w:pPr>
              <w:overflowPunct w:val="0"/>
              <w:ind w:firstLine="360" w:firstLineChars="150"/>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sz w:val="24"/>
              </w:rPr>
            </w:pPr>
          </w:p>
        </w:tc>
        <w:tc>
          <w:tcPr>
            <w:tcW w:w="1772" w:type="dxa"/>
            <w:tcBorders>
              <w:left w:val="single" w:color="auto" w:sz="4" w:space="0"/>
              <w:bottom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建设用地批准</w:t>
            </w:r>
          </w:p>
          <w:p>
            <w:pPr>
              <w:overflowPunct w:val="0"/>
              <w:jc w:val="center"/>
              <w:rPr>
                <w:rFonts w:hint="default" w:ascii="Times New Roman" w:hAnsi="Times New Roman" w:eastAsia="方正仿宋_GBK" w:cs="Times New Roman"/>
              </w:rPr>
            </w:pPr>
            <w:r>
              <w:rPr>
                <w:rFonts w:hint="default" w:ascii="Times New Roman" w:hAnsi="Times New Roman" w:eastAsia="方正仿宋_GBK" w:cs="Times New Roman"/>
                <w:sz w:val="24"/>
              </w:rPr>
              <w:t>文号</w:t>
            </w:r>
          </w:p>
        </w:tc>
        <w:tc>
          <w:tcPr>
            <w:tcW w:w="2671" w:type="dxa"/>
            <w:tcBorders>
              <w:left w:val="single" w:color="auto" w:sz="4" w:space="0"/>
              <w:bottom w:val="single" w:color="auto" w:sz="4" w:space="0"/>
              <w:right w:val="single" w:color="auto" w:sz="4" w:space="0"/>
            </w:tcBorders>
            <w:noWrap w:val="0"/>
            <w:vAlign w:val="center"/>
          </w:tcPr>
          <w:p>
            <w:pPr>
              <w:overflowPunct w:val="0"/>
              <w:ind w:firstLine="360" w:firstLineChars="150"/>
              <w:jc w:val="center"/>
              <w:rPr>
                <w:rFonts w:hint="default" w:ascii="Times New Roman" w:hAnsi="Times New Roman" w:eastAsia="方正仿宋_GBK" w:cs="Times New Roman"/>
                <w:sz w:val="24"/>
              </w:rPr>
            </w:pPr>
          </w:p>
        </w:tc>
        <w:tc>
          <w:tcPr>
            <w:tcW w:w="2160" w:type="dxa"/>
            <w:tcBorders>
              <w:left w:val="single" w:color="auto" w:sz="4" w:space="0"/>
              <w:bottom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批准建设用地面积（公顷）</w:t>
            </w:r>
          </w:p>
        </w:tc>
        <w:tc>
          <w:tcPr>
            <w:tcW w:w="2289" w:type="dxa"/>
            <w:tcBorders>
              <w:left w:val="single" w:color="auto" w:sz="4" w:space="0"/>
              <w:bottom w:val="single" w:color="auto" w:sz="4" w:space="0"/>
              <w:right w:val="single" w:color="auto" w:sz="4" w:space="0"/>
            </w:tcBorders>
            <w:noWrap w:val="0"/>
            <w:vAlign w:val="center"/>
          </w:tcPr>
          <w:p>
            <w:pPr>
              <w:overflowPunct w:val="0"/>
              <w:ind w:firstLine="360" w:firstLineChars="150"/>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9" w:hRule="atLeast"/>
          <w:jc w:val="center"/>
        </w:trPr>
        <w:tc>
          <w:tcPr>
            <w:tcW w:w="662" w:type="dxa"/>
            <w:tcBorders>
              <w:left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临时用地项目</w:t>
            </w:r>
            <w:r>
              <w:rPr>
                <w:rFonts w:hint="default" w:ascii="Times New Roman" w:hAnsi="Times New Roman" w:eastAsia="方正仿宋_GBK" w:cs="Times New Roman"/>
                <w:sz w:val="24"/>
              </w:rPr>
              <w:t>情况</w:t>
            </w:r>
          </w:p>
        </w:tc>
        <w:tc>
          <w:tcPr>
            <w:tcW w:w="1772" w:type="dxa"/>
            <w:tcBorders>
              <w:left w:val="single" w:color="auto" w:sz="4" w:space="0"/>
              <w:bottom w:val="single" w:color="auto" w:sz="4" w:space="0"/>
              <w:right w:val="single" w:color="auto" w:sz="2" w:space="0"/>
            </w:tcBorders>
            <w:noWrap w:val="0"/>
            <w:vAlign w:val="center"/>
          </w:tcPr>
          <w:p>
            <w:pPr>
              <w:overflowPunct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临时用地</w:t>
            </w:r>
          </w:p>
          <w:p>
            <w:pPr>
              <w:overflowPunct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项目名称</w:t>
            </w:r>
          </w:p>
        </w:tc>
        <w:tc>
          <w:tcPr>
            <w:tcW w:w="2671" w:type="dxa"/>
            <w:tcBorders>
              <w:left w:val="single" w:color="auto" w:sz="2" w:space="0"/>
              <w:bottom w:val="single" w:color="auto" w:sz="4" w:space="0"/>
              <w:right w:val="single" w:color="auto" w:sz="4" w:space="0"/>
            </w:tcBorders>
            <w:noWrap w:val="0"/>
            <w:vAlign w:val="center"/>
          </w:tcPr>
          <w:p>
            <w:pPr>
              <w:overflowPunct w:val="0"/>
              <w:spacing w:line="360" w:lineRule="auto"/>
              <w:jc w:val="center"/>
              <w:rPr>
                <w:rFonts w:hint="default" w:ascii="Times New Roman" w:hAnsi="Times New Roman" w:eastAsia="方正仿宋_GBK" w:cs="Times New Roman"/>
                <w:color w:val="000000"/>
                <w:sz w:val="24"/>
              </w:rPr>
            </w:pPr>
          </w:p>
        </w:tc>
        <w:tc>
          <w:tcPr>
            <w:tcW w:w="2160" w:type="dxa"/>
            <w:tcBorders>
              <w:left w:val="single" w:color="auto" w:sz="2" w:space="0"/>
              <w:bottom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sz w:val="24"/>
              </w:rPr>
              <w:t>申请临时用地总面积（公顷）</w:t>
            </w:r>
          </w:p>
        </w:tc>
        <w:tc>
          <w:tcPr>
            <w:tcW w:w="2289" w:type="dxa"/>
            <w:tcBorders>
              <w:left w:val="single" w:color="auto" w:sz="2" w:space="0"/>
              <w:bottom w:val="single" w:color="auto" w:sz="4" w:space="0"/>
              <w:right w:val="single" w:color="auto" w:sz="4" w:space="0"/>
            </w:tcBorders>
            <w:noWrap w:val="0"/>
            <w:vAlign w:val="center"/>
          </w:tcPr>
          <w:p>
            <w:pPr>
              <w:overflowPunct w:val="0"/>
              <w:spacing w:line="360" w:lineRule="auto"/>
              <w:jc w:val="center"/>
              <w:rPr>
                <w:rFonts w:hint="default" w:ascii="Times New Roman" w:hAnsi="Times New Roman" w:eastAsia="方正仿宋_GBK" w:cs="Times New Roman"/>
                <w:color w:val="000000"/>
                <w:sz w:val="24"/>
              </w:rPr>
            </w:pPr>
          </w:p>
        </w:tc>
      </w:tr>
    </w:tbl>
    <w:p>
      <w:pPr>
        <w:rPr>
          <w:rFonts w:hint="default" w:ascii="Times New Roman" w:hAnsi="Times New Roman" w:cs="Times New Roman"/>
        </w:rPr>
      </w:pPr>
      <w:r>
        <w:rPr>
          <w:rFonts w:hint="default" w:ascii="Times New Roman" w:hAnsi="Times New Roman" w:cs="Times New Roman"/>
        </w:rPr>
        <w:br w:type="page"/>
      </w:r>
    </w:p>
    <w:tbl>
      <w:tblPr>
        <w:tblStyle w:val="9"/>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2"/>
        <w:gridCol w:w="1772"/>
        <w:gridCol w:w="2545"/>
        <w:gridCol w:w="2286"/>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7" w:hRule="atLeast"/>
          <w:jc w:val="center"/>
        </w:trPr>
        <w:tc>
          <w:tcPr>
            <w:tcW w:w="662" w:type="dxa"/>
            <w:vMerge w:val="restart"/>
            <w:tcBorders>
              <w:left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color w:val="000000"/>
                <w:sz w:val="24"/>
              </w:rPr>
            </w:pPr>
          </w:p>
        </w:tc>
        <w:tc>
          <w:tcPr>
            <w:tcW w:w="1772" w:type="dxa"/>
            <w:tcBorders>
              <w:left w:val="single" w:color="auto" w:sz="4" w:space="0"/>
              <w:bottom w:val="single" w:color="auto" w:sz="4" w:space="0"/>
              <w:right w:val="single" w:color="auto" w:sz="2" w:space="0"/>
            </w:tcBorders>
            <w:noWrap w:val="0"/>
            <w:vAlign w:val="center"/>
          </w:tcPr>
          <w:p>
            <w:pPr>
              <w:overflowPunct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地址</w:t>
            </w:r>
          </w:p>
        </w:tc>
        <w:tc>
          <w:tcPr>
            <w:tcW w:w="7120" w:type="dxa"/>
            <w:gridSpan w:val="3"/>
            <w:tcBorders>
              <w:left w:val="single" w:color="auto" w:sz="2" w:space="0"/>
              <w:bottom w:val="single" w:color="auto" w:sz="4" w:space="0"/>
              <w:right w:val="single" w:color="auto" w:sz="4" w:space="0"/>
            </w:tcBorders>
            <w:noWrap w:val="0"/>
            <w:vAlign w:val="center"/>
          </w:tcPr>
          <w:p>
            <w:pPr>
              <w:overflowPunct w:val="0"/>
              <w:spacing w:line="360" w:lineRule="auto"/>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××乡镇（街道）××村（社区）××社（组）等×个村（社区）×个社（组）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44"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color w:val="000000"/>
                <w:sz w:val="24"/>
              </w:rPr>
            </w:pPr>
          </w:p>
        </w:tc>
        <w:tc>
          <w:tcPr>
            <w:tcW w:w="1772" w:type="dxa"/>
            <w:tcBorders>
              <w:left w:val="single" w:color="auto" w:sz="4" w:space="0"/>
              <w:bottom w:val="single" w:color="auto" w:sz="4" w:space="0"/>
              <w:right w:val="single" w:color="auto" w:sz="2" w:space="0"/>
            </w:tcBorders>
            <w:noWrap w:val="0"/>
            <w:vAlign w:val="center"/>
          </w:tcPr>
          <w:p>
            <w:pPr>
              <w:overflowPunct w:val="0"/>
              <w:spacing w:line="360" w:lineRule="auto"/>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sz w:val="24"/>
              </w:rPr>
              <w:t>选址情况</w:t>
            </w:r>
          </w:p>
        </w:tc>
        <w:tc>
          <w:tcPr>
            <w:tcW w:w="7120" w:type="dxa"/>
            <w:gridSpan w:val="3"/>
            <w:tcBorders>
              <w:left w:val="single" w:color="auto" w:sz="2" w:space="0"/>
              <w:bottom w:val="single" w:color="auto" w:sz="4" w:space="0"/>
              <w:right w:val="single" w:color="auto" w:sz="4" w:space="0"/>
            </w:tcBorders>
            <w:noWrap w:val="0"/>
            <w:vAlign w:val="center"/>
          </w:tcPr>
          <w:p>
            <w:pPr>
              <w:overflowPunct w:val="0"/>
              <w:spacing w:line="360" w:lineRule="auto"/>
              <w:ind w:left="210" w:leftChars="10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sz w:val="24"/>
              </w:rPr>
              <w:t>□占用耕地</w:t>
            </w:r>
            <w:r>
              <w:rPr>
                <w:rFonts w:hint="default" w:ascii="Times New Roman" w:hAnsi="Times New Roman" w:eastAsia="方正仿宋_GBK" w:cs="Times New Roman"/>
                <w:color w:val="000000"/>
                <w:sz w:val="24"/>
              </w:rPr>
              <w:t>（</w:t>
            </w:r>
            <w:r>
              <w:rPr>
                <w:rFonts w:hint="default" w:ascii="Times New Roman" w:hAnsi="Times New Roman" w:eastAsia="方正仿宋_GBK" w:cs="Times New Roman"/>
                <w:sz w:val="24"/>
              </w:rPr>
              <w:t>□</w:t>
            </w:r>
            <w:r>
              <w:rPr>
                <w:rFonts w:hint="default" w:ascii="Times New Roman" w:hAnsi="Times New Roman" w:eastAsia="方正仿宋_GBK" w:cs="Times New Roman"/>
                <w:color w:val="000000"/>
                <w:sz w:val="24"/>
              </w:rPr>
              <w:t xml:space="preserve">占用永久基本农田  </w:t>
            </w:r>
            <w:r>
              <w:rPr>
                <w:rFonts w:hint="default" w:ascii="Times New Roman" w:hAnsi="Times New Roman" w:eastAsia="方正仿宋_GBK" w:cs="Times New Roman"/>
                <w:sz w:val="24"/>
              </w:rPr>
              <w:t>□</w:t>
            </w:r>
            <w:r>
              <w:rPr>
                <w:rFonts w:hint="default" w:ascii="Times New Roman" w:hAnsi="Times New Roman" w:eastAsia="方正仿宋_GBK" w:cs="Times New Roman"/>
                <w:color w:val="000000"/>
                <w:sz w:val="24"/>
              </w:rPr>
              <w:t>占用一般耕地）</w:t>
            </w:r>
          </w:p>
          <w:p>
            <w:pPr>
              <w:overflowPunct w:val="0"/>
              <w:spacing w:line="360" w:lineRule="auto"/>
              <w:ind w:left="210" w:leftChars="10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sz w:val="24"/>
              </w:rPr>
              <w:t>□</w:t>
            </w:r>
            <w:r>
              <w:rPr>
                <w:rFonts w:hint="default" w:ascii="Times New Roman" w:hAnsi="Times New Roman" w:eastAsia="方正仿宋_GBK" w:cs="Times New Roman"/>
                <w:color w:val="000000"/>
                <w:sz w:val="24"/>
              </w:rPr>
              <w:t>位于能源、交通、水利等工程保护范围内</w:t>
            </w:r>
          </w:p>
          <w:p>
            <w:pPr>
              <w:overflowPunct w:val="0"/>
              <w:spacing w:line="360" w:lineRule="auto"/>
              <w:ind w:left="210" w:leftChars="10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sz w:val="24"/>
              </w:rPr>
              <w:t>□</w:t>
            </w:r>
            <w:r>
              <w:rPr>
                <w:rFonts w:hint="default" w:ascii="Times New Roman" w:hAnsi="Times New Roman" w:eastAsia="方正仿宋_GBK" w:cs="Times New Roman"/>
                <w:color w:val="000000"/>
                <w:sz w:val="24"/>
              </w:rPr>
              <w:t>涉及占用林地、草地、湿地以及各类保护区等生态管控区域</w:t>
            </w:r>
          </w:p>
          <w:p>
            <w:pPr>
              <w:overflowPunct w:val="0"/>
              <w:spacing w:line="360" w:lineRule="auto"/>
              <w:ind w:left="210" w:leftChars="10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sz w:val="24"/>
              </w:rPr>
              <w:t>□</w:t>
            </w:r>
            <w:r>
              <w:rPr>
                <w:rFonts w:hint="default" w:ascii="Times New Roman" w:hAnsi="Times New Roman" w:eastAsia="方正仿宋_GBK" w:cs="Times New Roman"/>
                <w:color w:val="000000"/>
                <w:sz w:val="24"/>
              </w:rPr>
              <w:t>涉及占用储备土地</w:t>
            </w:r>
          </w:p>
          <w:p>
            <w:pPr>
              <w:overflowPunct w:val="0"/>
              <w:spacing w:line="360" w:lineRule="auto"/>
              <w:ind w:left="210" w:leftChars="10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sz w:val="24"/>
              </w:rPr>
              <w:t>□</w:t>
            </w:r>
            <w:r>
              <w:rPr>
                <w:rFonts w:hint="default" w:ascii="Times New Roman" w:hAnsi="Times New Roman" w:eastAsia="方正仿宋_GBK" w:cs="Times New Roman"/>
                <w:color w:val="000000"/>
                <w:sz w:val="24"/>
              </w:rPr>
              <w:t>位于地质灾害易发区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2"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color w:val="000000"/>
                <w:sz w:val="24"/>
              </w:rPr>
            </w:pPr>
          </w:p>
        </w:tc>
        <w:tc>
          <w:tcPr>
            <w:tcW w:w="1772" w:type="dxa"/>
            <w:tcBorders>
              <w:left w:val="single" w:color="auto" w:sz="4" w:space="0"/>
              <w:bottom w:val="single" w:color="auto" w:sz="4" w:space="0"/>
              <w:right w:val="single" w:color="auto" w:sz="2" w:space="0"/>
            </w:tcBorders>
            <w:noWrap w:val="0"/>
            <w:vAlign w:val="center"/>
          </w:tcPr>
          <w:p>
            <w:pPr>
              <w:overflowPunct w:val="0"/>
              <w:jc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使用期限</w:t>
            </w:r>
          </w:p>
        </w:tc>
        <w:tc>
          <w:tcPr>
            <w:tcW w:w="2545" w:type="dxa"/>
            <w:tcBorders>
              <w:left w:val="single" w:color="auto" w:sz="2" w:space="0"/>
              <w:bottom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年（    个月）</w:t>
            </w:r>
          </w:p>
        </w:tc>
        <w:tc>
          <w:tcPr>
            <w:tcW w:w="2286" w:type="dxa"/>
            <w:tcBorders>
              <w:left w:val="single" w:color="auto" w:sz="2" w:space="0"/>
              <w:bottom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补偿费用</w:t>
            </w:r>
          </w:p>
          <w:p>
            <w:pPr>
              <w:overflowPunct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（万元）</w:t>
            </w:r>
          </w:p>
        </w:tc>
        <w:tc>
          <w:tcPr>
            <w:tcW w:w="2289" w:type="dxa"/>
            <w:tcBorders>
              <w:left w:val="single" w:color="auto" w:sz="2" w:space="0"/>
              <w:bottom w:val="single" w:color="auto" w:sz="4" w:space="0"/>
              <w:right w:val="single" w:color="auto" w:sz="4" w:space="0"/>
            </w:tcBorders>
            <w:noWrap w:val="0"/>
            <w:vAlign w:val="center"/>
          </w:tcPr>
          <w:p>
            <w:pPr>
              <w:overflowPunct w:val="0"/>
              <w:spacing w:line="360" w:lineRule="auto"/>
              <w:ind w:left="210" w:leftChars="100"/>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9"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color w:val="000000"/>
                <w:sz w:val="24"/>
              </w:rPr>
            </w:pPr>
          </w:p>
        </w:tc>
        <w:tc>
          <w:tcPr>
            <w:tcW w:w="1772" w:type="dxa"/>
            <w:tcBorders>
              <w:left w:val="single" w:color="auto" w:sz="4" w:space="0"/>
              <w:bottom w:val="single" w:color="auto" w:sz="4" w:space="0"/>
              <w:right w:val="single" w:color="auto" w:sz="2" w:space="0"/>
            </w:tcBorders>
            <w:noWrap w:val="0"/>
            <w:vAlign w:val="center"/>
          </w:tcPr>
          <w:p>
            <w:pPr>
              <w:overflowPunct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对应的土地复垦方案编号</w:t>
            </w:r>
          </w:p>
        </w:tc>
        <w:tc>
          <w:tcPr>
            <w:tcW w:w="2545" w:type="dxa"/>
            <w:tcBorders>
              <w:left w:val="single" w:color="auto" w:sz="2" w:space="0"/>
              <w:bottom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sz w:val="24"/>
              </w:rPr>
            </w:pPr>
          </w:p>
        </w:tc>
        <w:tc>
          <w:tcPr>
            <w:tcW w:w="2286" w:type="dxa"/>
            <w:tcBorders>
              <w:left w:val="single" w:color="auto" w:sz="2" w:space="0"/>
              <w:bottom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本次申请对应的土地复垦方案地块号</w:t>
            </w:r>
          </w:p>
        </w:tc>
        <w:tc>
          <w:tcPr>
            <w:tcW w:w="2289" w:type="dxa"/>
            <w:tcBorders>
              <w:left w:val="single" w:color="auto" w:sz="2" w:space="0"/>
              <w:bottom w:val="single" w:color="auto" w:sz="4" w:space="0"/>
              <w:right w:val="single" w:color="auto" w:sz="4" w:space="0"/>
            </w:tcBorders>
            <w:noWrap w:val="0"/>
            <w:vAlign w:val="center"/>
          </w:tcPr>
          <w:p>
            <w:pPr>
              <w:overflowPunct w:val="0"/>
              <w:spacing w:line="360" w:lineRule="auto"/>
              <w:ind w:left="210" w:leftChars="100"/>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color w:val="000000"/>
                <w:sz w:val="24"/>
              </w:rPr>
            </w:pPr>
          </w:p>
        </w:tc>
        <w:tc>
          <w:tcPr>
            <w:tcW w:w="1772" w:type="dxa"/>
            <w:tcBorders>
              <w:left w:val="single" w:color="auto" w:sz="4" w:space="0"/>
              <w:bottom w:val="single" w:color="auto" w:sz="4" w:space="0"/>
              <w:right w:val="single" w:color="auto" w:sz="2" w:space="0"/>
            </w:tcBorders>
            <w:noWrap w:val="0"/>
            <w:vAlign w:val="center"/>
          </w:tcPr>
          <w:p>
            <w:pPr>
              <w:overflowPunct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主要用途</w:t>
            </w:r>
          </w:p>
        </w:tc>
        <w:tc>
          <w:tcPr>
            <w:tcW w:w="4831" w:type="dxa"/>
            <w:gridSpan w:val="2"/>
            <w:tcBorders>
              <w:left w:val="single" w:color="auto" w:sz="2" w:space="0"/>
              <w:bottom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详细用途</w:t>
            </w:r>
          </w:p>
        </w:tc>
        <w:tc>
          <w:tcPr>
            <w:tcW w:w="2289" w:type="dxa"/>
            <w:tcBorders>
              <w:left w:val="single" w:color="auto" w:sz="2" w:space="0"/>
              <w:bottom w:val="single" w:color="auto" w:sz="4" w:space="0"/>
              <w:right w:val="single" w:color="auto" w:sz="4" w:space="0"/>
            </w:tcBorders>
            <w:noWrap w:val="0"/>
            <w:vAlign w:val="bottom"/>
          </w:tcPr>
          <w:p>
            <w:pPr>
              <w:overflowPunct w:val="0"/>
              <w:spacing w:line="360" w:lineRule="auto"/>
              <w:ind w:left="210" w:leftChars="10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面积（公顷）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color w:val="000000"/>
                <w:sz w:val="24"/>
              </w:rPr>
            </w:pPr>
          </w:p>
        </w:tc>
        <w:tc>
          <w:tcPr>
            <w:tcW w:w="1772" w:type="dxa"/>
            <w:vMerge w:val="restart"/>
            <w:tcBorders>
              <w:left w:val="single" w:color="auto" w:sz="4" w:space="0"/>
              <w:right w:val="single" w:color="auto" w:sz="2" w:space="0"/>
            </w:tcBorders>
            <w:noWrap w:val="0"/>
            <w:vAlign w:val="center"/>
          </w:tcPr>
          <w:p>
            <w:pPr>
              <w:overflowPunct w:val="0"/>
              <w:jc w:val="center"/>
              <w:rPr>
                <w:rFonts w:hint="default" w:ascii="Times New Roman" w:hAnsi="Times New Roman" w:eastAsia="方正仿宋_GBK" w:cs="Times New Roman"/>
              </w:rPr>
            </w:pPr>
            <w:r>
              <w:rPr>
                <w:rFonts w:hint="default" w:ascii="Times New Roman" w:hAnsi="Times New Roman" w:eastAsia="方正仿宋_GBK" w:cs="Times New Roman"/>
              </w:rPr>
              <w:t>建设项目施工类</w:t>
            </w:r>
          </w:p>
          <w:p>
            <w:pPr>
              <w:pStyle w:val="14"/>
              <w:widowControl w:val="0"/>
              <w:overflowPunct w:val="0"/>
              <w:jc w:val="center"/>
              <w:rPr>
                <w:rFonts w:hint="default" w:ascii="Times New Roman" w:hAnsi="Times New Roman" w:eastAsia="方正仿宋_GBK" w:cs="Times New Roman"/>
              </w:rPr>
            </w:pPr>
          </w:p>
          <w:p>
            <w:pPr>
              <w:pStyle w:val="14"/>
              <w:widowControl w:val="0"/>
              <w:overflowPunct w:val="0"/>
              <w:jc w:val="center"/>
              <w:rPr>
                <w:rFonts w:hint="default" w:ascii="Times New Roman" w:hAnsi="Times New Roman" w:eastAsia="方正仿宋_GBK" w:cs="Times New Roman"/>
              </w:rPr>
            </w:pPr>
          </w:p>
          <w:p>
            <w:pPr>
              <w:pStyle w:val="14"/>
              <w:widowControl w:val="0"/>
              <w:overflowPunct w:val="0"/>
              <w:jc w:val="center"/>
              <w:rPr>
                <w:rFonts w:hint="default" w:ascii="Times New Roman" w:hAnsi="Times New Roman" w:eastAsia="方正仿宋_GBK" w:cs="Times New Roman"/>
              </w:rPr>
            </w:pPr>
          </w:p>
          <w:p>
            <w:pPr>
              <w:pStyle w:val="14"/>
              <w:widowControl w:val="0"/>
              <w:overflowPunct w:val="0"/>
              <w:jc w:val="center"/>
              <w:rPr>
                <w:rFonts w:hint="default" w:ascii="Times New Roman" w:hAnsi="Times New Roman" w:eastAsia="方正仿宋_GBK" w:cs="Times New Roman"/>
              </w:rPr>
            </w:pPr>
          </w:p>
          <w:p>
            <w:pPr>
              <w:pStyle w:val="14"/>
              <w:widowControl w:val="0"/>
              <w:overflowPunct w:val="0"/>
              <w:jc w:val="center"/>
              <w:rPr>
                <w:rFonts w:hint="default" w:ascii="Times New Roman" w:hAnsi="Times New Roman" w:eastAsia="方正仿宋_GBK" w:cs="Times New Roman"/>
              </w:rPr>
            </w:pPr>
          </w:p>
          <w:p>
            <w:pPr>
              <w:pStyle w:val="14"/>
              <w:widowControl w:val="0"/>
              <w:overflowPunct w:val="0"/>
              <w:jc w:val="center"/>
              <w:rPr>
                <w:rFonts w:hint="default" w:ascii="Times New Roman" w:hAnsi="Times New Roman" w:eastAsia="方正仿宋_GBK" w:cs="Times New Roman"/>
              </w:rPr>
            </w:pPr>
            <w:r>
              <w:rPr>
                <w:rFonts w:hint="default" w:ascii="Times New Roman" w:hAnsi="Times New Roman" w:eastAsia="方正仿宋_GBK" w:cs="Times New Roman"/>
              </w:rPr>
              <w:t>（  ）公顷</w:t>
            </w:r>
          </w:p>
        </w:tc>
        <w:tc>
          <w:tcPr>
            <w:tcW w:w="4831" w:type="dxa"/>
            <w:gridSpan w:val="2"/>
            <w:tcBorders>
              <w:left w:val="single" w:color="auto" w:sz="2" w:space="0"/>
              <w:bottom w:val="single" w:color="auto" w:sz="4" w:space="0"/>
              <w:right w:val="single" w:color="auto" w:sz="4" w:space="0"/>
            </w:tcBorders>
            <w:noWrap w:val="0"/>
            <w:vAlign w:val="center"/>
          </w:tcPr>
          <w:p>
            <w:pPr>
              <w:overflowPunct w:val="0"/>
              <w:ind w:firstLine="218" w:firstLineChars="91"/>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临时办公用房</w:t>
            </w:r>
          </w:p>
        </w:tc>
        <w:tc>
          <w:tcPr>
            <w:tcW w:w="2289" w:type="dxa"/>
            <w:tcBorders>
              <w:left w:val="single" w:color="auto" w:sz="2" w:space="0"/>
              <w:right w:val="single" w:color="auto" w:sz="4" w:space="0"/>
            </w:tcBorders>
            <w:noWrap w:val="0"/>
            <w:vAlign w:val="center"/>
          </w:tcPr>
          <w:p>
            <w:pPr>
              <w:overflowPunct w:val="0"/>
              <w:spacing w:line="360" w:lineRule="auto"/>
              <w:ind w:left="210" w:leftChars="100"/>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rPr>
            </w:pPr>
          </w:p>
        </w:tc>
        <w:tc>
          <w:tcPr>
            <w:tcW w:w="1772" w:type="dxa"/>
            <w:vMerge w:val="continue"/>
            <w:tcBorders>
              <w:left w:val="single" w:color="auto" w:sz="4" w:space="0"/>
              <w:right w:val="single" w:color="auto" w:sz="2" w:space="0"/>
            </w:tcBorders>
            <w:noWrap w:val="0"/>
            <w:vAlign w:val="center"/>
          </w:tcPr>
          <w:p>
            <w:pPr>
              <w:overflowPunct w:val="0"/>
              <w:jc w:val="center"/>
              <w:rPr>
                <w:rFonts w:hint="default" w:ascii="Times New Roman" w:hAnsi="Times New Roman" w:eastAsia="方正仿宋_GBK" w:cs="Times New Roman"/>
              </w:rPr>
            </w:pPr>
          </w:p>
        </w:tc>
        <w:tc>
          <w:tcPr>
            <w:tcW w:w="4831" w:type="dxa"/>
            <w:gridSpan w:val="2"/>
            <w:tcBorders>
              <w:left w:val="single" w:color="auto" w:sz="2" w:space="0"/>
              <w:bottom w:val="single" w:color="auto" w:sz="4" w:space="0"/>
              <w:right w:val="single" w:color="auto" w:sz="4" w:space="0"/>
            </w:tcBorders>
            <w:noWrap w:val="0"/>
            <w:vAlign w:val="center"/>
          </w:tcPr>
          <w:p>
            <w:pPr>
              <w:overflowPunct w:val="0"/>
              <w:ind w:firstLine="218" w:firstLineChars="91"/>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生活用房</w:t>
            </w:r>
          </w:p>
        </w:tc>
        <w:tc>
          <w:tcPr>
            <w:tcW w:w="2289" w:type="dxa"/>
            <w:tcBorders>
              <w:left w:val="single" w:color="auto" w:sz="2" w:space="0"/>
              <w:right w:val="single" w:color="auto" w:sz="4" w:space="0"/>
            </w:tcBorders>
            <w:noWrap w:val="0"/>
            <w:vAlign w:val="center"/>
          </w:tcPr>
          <w:p>
            <w:pPr>
              <w:overflowPunct w:val="0"/>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sz w:val="24"/>
              </w:rPr>
            </w:pPr>
          </w:p>
        </w:tc>
        <w:tc>
          <w:tcPr>
            <w:tcW w:w="1772" w:type="dxa"/>
            <w:vMerge w:val="continue"/>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工棚</w:t>
            </w:r>
          </w:p>
        </w:tc>
        <w:tc>
          <w:tcPr>
            <w:tcW w:w="2289" w:type="dxa"/>
            <w:tcBorders>
              <w:left w:val="single" w:color="auto" w:sz="2" w:space="0"/>
              <w:right w:val="single" w:color="auto" w:sz="4"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sz w:val="24"/>
              </w:rPr>
            </w:pPr>
          </w:p>
        </w:tc>
        <w:tc>
          <w:tcPr>
            <w:tcW w:w="1772" w:type="dxa"/>
            <w:vMerge w:val="continue"/>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农用地表土剥离堆放场</w:t>
            </w:r>
          </w:p>
        </w:tc>
        <w:tc>
          <w:tcPr>
            <w:tcW w:w="2289" w:type="dxa"/>
            <w:tcBorders>
              <w:left w:val="single" w:color="auto" w:sz="2" w:space="0"/>
              <w:right w:val="single" w:color="auto" w:sz="4"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cs="Times New Roman"/>
                <w:sz w:val="24"/>
              </w:rPr>
            </w:pPr>
          </w:p>
        </w:tc>
        <w:tc>
          <w:tcPr>
            <w:tcW w:w="1772" w:type="dxa"/>
            <w:vMerge w:val="continue"/>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材料堆场</w:t>
            </w:r>
          </w:p>
        </w:tc>
        <w:tc>
          <w:tcPr>
            <w:tcW w:w="2289" w:type="dxa"/>
            <w:tcBorders>
              <w:left w:val="single" w:color="auto" w:sz="2" w:space="0"/>
              <w:right w:val="single" w:color="auto" w:sz="4"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cs="Times New Roman"/>
                <w:sz w:val="24"/>
              </w:rPr>
            </w:pPr>
          </w:p>
        </w:tc>
        <w:tc>
          <w:tcPr>
            <w:tcW w:w="1772" w:type="dxa"/>
            <w:vMerge w:val="continue"/>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制梁场</w:t>
            </w:r>
          </w:p>
        </w:tc>
        <w:tc>
          <w:tcPr>
            <w:tcW w:w="2289" w:type="dxa"/>
            <w:tcBorders>
              <w:left w:val="single" w:color="auto" w:sz="2" w:space="0"/>
              <w:right w:val="single" w:color="auto" w:sz="4"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cs="Times New Roman"/>
                <w:sz w:val="24"/>
              </w:rPr>
            </w:pPr>
          </w:p>
        </w:tc>
        <w:tc>
          <w:tcPr>
            <w:tcW w:w="1772" w:type="dxa"/>
            <w:vMerge w:val="continue"/>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拌合站</w:t>
            </w:r>
          </w:p>
        </w:tc>
        <w:tc>
          <w:tcPr>
            <w:tcW w:w="2289" w:type="dxa"/>
            <w:tcBorders>
              <w:left w:val="single" w:color="auto" w:sz="2" w:space="0"/>
              <w:right w:val="single" w:color="auto" w:sz="4"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cs="Times New Roman"/>
                <w:sz w:val="24"/>
              </w:rPr>
            </w:pPr>
          </w:p>
        </w:tc>
        <w:tc>
          <w:tcPr>
            <w:tcW w:w="1772" w:type="dxa"/>
            <w:vMerge w:val="continue"/>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钢筋加工场</w:t>
            </w:r>
          </w:p>
        </w:tc>
        <w:tc>
          <w:tcPr>
            <w:tcW w:w="2289" w:type="dxa"/>
            <w:tcBorders>
              <w:left w:val="single" w:color="auto" w:sz="2" w:space="0"/>
              <w:right w:val="single" w:color="auto" w:sz="4"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cs="Times New Roman"/>
                <w:sz w:val="24"/>
              </w:rPr>
            </w:pPr>
          </w:p>
        </w:tc>
        <w:tc>
          <w:tcPr>
            <w:tcW w:w="1772" w:type="dxa"/>
            <w:vMerge w:val="continue"/>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施工便道</w:t>
            </w:r>
          </w:p>
        </w:tc>
        <w:tc>
          <w:tcPr>
            <w:tcW w:w="2289" w:type="dxa"/>
            <w:tcBorders>
              <w:left w:val="single" w:color="auto" w:sz="2" w:space="0"/>
              <w:right w:val="single" w:color="auto" w:sz="4"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cs="Times New Roman"/>
                <w:sz w:val="24"/>
              </w:rPr>
            </w:pPr>
          </w:p>
        </w:tc>
        <w:tc>
          <w:tcPr>
            <w:tcW w:w="1772" w:type="dxa"/>
            <w:vMerge w:val="continue"/>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运输便道</w:t>
            </w:r>
          </w:p>
        </w:tc>
        <w:tc>
          <w:tcPr>
            <w:tcW w:w="2289" w:type="dxa"/>
            <w:tcBorders>
              <w:left w:val="single" w:color="auto" w:sz="2" w:space="0"/>
              <w:right w:val="single" w:color="auto" w:sz="4"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cs="Times New Roman"/>
                <w:sz w:val="24"/>
              </w:rPr>
            </w:pPr>
          </w:p>
        </w:tc>
        <w:tc>
          <w:tcPr>
            <w:tcW w:w="1772" w:type="dxa"/>
            <w:vMerge w:val="continue"/>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地上线路架设</w:t>
            </w:r>
          </w:p>
        </w:tc>
        <w:tc>
          <w:tcPr>
            <w:tcW w:w="2289" w:type="dxa"/>
            <w:tcBorders>
              <w:left w:val="single" w:color="auto" w:sz="2" w:space="0"/>
              <w:right w:val="single" w:color="auto" w:sz="4"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cs="Times New Roman"/>
                <w:sz w:val="24"/>
              </w:rPr>
            </w:pPr>
          </w:p>
        </w:tc>
        <w:tc>
          <w:tcPr>
            <w:tcW w:w="1772" w:type="dxa"/>
            <w:vMerge w:val="continue"/>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地下管线敷设作业</w:t>
            </w:r>
          </w:p>
        </w:tc>
        <w:tc>
          <w:tcPr>
            <w:tcW w:w="2289" w:type="dxa"/>
            <w:tcBorders>
              <w:left w:val="single" w:color="auto" w:sz="2" w:space="0"/>
              <w:bottom w:val="single" w:color="auto" w:sz="4" w:space="0"/>
              <w:right w:val="single" w:color="auto" w:sz="4"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cs="Times New Roman"/>
                <w:sz w:val="24"/>
              </w:rPr>
            </w:pPr>
          </w:p>
        </w:tc>
        <w:tc>
          <w:tcPr>
            <w:tcW w:w="1772" w:type="dxa"/>
            <w:vMerge w:val="continue"/>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取土场</w:t>
            </w:r>
          </w:p>
        </w:tc>
        <w:tc>
          <w:tcPr>
            <w:tcW w:w="2289" w:type="dxa"/>
            <w:tcBorders>
              <w:left w:val="single" w:color="auto" w:sz="2" w:space="0"/>
              <w:bottom w:val="single" w:color="auto" w:sz="4" w:space="0"/>
              <w:right w:val="single" w:color="auto" w:sz="4"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cs="Times New Roman"/>
                <w:sz w:val="24"/>
              </w:rPr>
            </w:pPr>
          </w:p>
        </w:tc>
        <w:tc>
          <w:tcPr>
            <w:tcW w:w="1772" w:type="dxa"/>
            <w:vMerge w:val="continue"/>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弃土（渣）场</w:t>
            </w:r>
          </w:p>
        </w:tc>
        <w:tc>
          <w:tcPr>
            <w:tcW w:w="2289" w:type="dxa"/>
            <w:tcBorders>
              <w:left w:val="single" w:color="auto" w:sz="2" w:space="0"/>
              <w:bottom w:val="single" w:color="auto" w:sz="4" w:space="0"/>
              <w:right w:val="single" w:color="auto" w:sz="4"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6"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cs="Times New Roman"/>
                <w:color w:val="000000"/>
                <w:sz w:val="24"/>
              </w:rPr>
            </w:pPr>
          </w:p>
        </w:tc>
        <w:tc>
          <w:tcPr>
            <w:tcW w:w="1772" w:type="dxa"/>
            <w:vMerge w:val="restart"/>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地质勘查类</w:t>
            </w:r>
          </w:p>
          <w:p>
            <w:pPr>
              <w:pStyle w:val="14"/>
              <w:widowControl w:val="0"/>
              <w:overflowPunct w:val="0"/>
              <w:jc w:val="center"/>
              <w:rPr>
                <w:rFonts w:hint="default" w:ascii="Times New Roman" w:hAnsi="Times New Roman" w:eastAsia="方正仿宋_GBK" w:cs="Times New Roman"/>
              </w:rPr>
            </w:pPr>
            <w:r>
              <w:rPr>
                <w:rFonts w:hint="default" w:ascii="Times New Roman" w:hAnsi="Times New Roman" w:eastAsia="方正仿宋_GBK" w:cs="Times New Roman"/>
              </w:rPr>
              <w:t>（  ）公顷</w:t>
            </w: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临时生活用房</w:t>
            </w:r>
          </w:p>
        </w:tc>
        <w:tc>
          <w:tcPr>
            <w:tcW w:w="2289" w:type="dxa"/>
            <w:tcBorders>
              <w:left w:val="single" w:color="auto" w:sz="2" w:space="0"/>
              <w:right w:val="single" w:color="auto" w:sz="4" w:space="0"/>
            </w:tcBorders>
            <w:noWrap w:val="0"/>
            <w:vAlign w:val="center"/>
          </w:tcPr>
          <w:p>
            <w:pPr>
              <w:overflowPunct w:val="0"/>
              <w:spacing w:line="280" w:lineRule="exact"/>
              <w:ind w:left="210" w:leftChars="100"/>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cs="Times New Roman"/>
              </w:rPr>
            </w:pPr>
          </w:p>
        </w:tc>
        <w:tc>
          <w:tcPr>
            <w:tcW w:w="1772" w:type="dxa"/>
            <w:vMerge w:val="continue"/>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rPr>
            </w:pP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临时工棚</w:t>
            </w:r>
          </w:p>
        </w:tc>
        <w:tc>
          <w:tcPr>
            <w:tcW w:w="2289" w:type="dxa"/>
            <w:tcBorders>
              <w:left w:val="single" w:color="auto" w:sz="2" w:space="0"/>
              <w:right w:val="single" w:color="auto" w:sz="4"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cs="Times New Roman"/>
                <w:sz w:val="24"/>
              </w:rPr>
            </w:pPr>
          </w:p>
        </w:tc>
        <w:tc>
          <w:tcPr>
            <w:tcW w:w="1772" w:type="dxa"/>
            <w:vMerge w:val="continue"/>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勘查作业及其辅助工程</w:t>
            </w:r>
          </w:p>
        </w:tc>
        <w:tc>
          <w:tcPr>
            <w:tcW w:w="2289" w:type="dxa"/>
            <w:tcBorders>
              <w:left w:val="single" w:color="auto" w:sz="2" w:space="0"/>
              <w:right w:val="single" w:color="auto" w:sz="4"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cs="Times New Roman"/>
                <w:sz w:val="24"/>
              </w:rPr>
            </w:pPr>
          </w:p>
        </w:tc>
        <w:tc>
          <w:tcPr>
            <w:tcW w:w="1772" w:type="dxa"/>
            <w:vMerge w:val="continue"/>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施工便道</w:t>
            </w:r>
          </w:p>
        </w:tc>
        <w:tc>
          <w:tcPr>
            <w:tcW w:w="2289" w:type="dxa"/>
            <w:tcBorders>
              <w:left w:val="single" w:color="auto" w:sz="2" w:space="0"/>
              <w:right w:val="single" w:color="auto" w:sz="4"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cs="Times New Roman"/>
                <w:sz w:val="24"/>
              </w:rPr>
            </w:pPr>
          </w:p>
        </w:tc>
        <w:tc>
          <w:tcPr>
            <w:tcW w:w="1772" w:type="dxa"/>
            <w:vMerge w:val="continue"/>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运输便道</w:t>
            </w:r>
          </w:p>
        </w:tc>
        <w:tc>
          <w:tcPr>
            <w:tcW w:w="2289" w:type="dxa"/>
            <w:tcBorders>
              <w:left w:val="single" w:color="auto" w:sz="2" w:space="0"/>
              <w:right w:val="single" w:color="auto" w:sz="4"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cs="Times New Roman"/>
                <w:sz w:val="24"/>
              </w:rPr>
            </w:pPr>
          </w:p>
        </w:tc>
        <w:tc>
          <w:tcPr>
            <w:tcW w:w="1772" w:type="dxa"/>
            <w:vMerge w:val="continue"/>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油气钻井井场</w:t>
            </w:r>
          </w:p>
        </w:tc>
        <w:tc>
          <w:tcPr>
            <w:tcW w:w="2289" w:type="dxa"/>
            <w:tcBorders>
              <w:left w:val="single" w:color="auto" w:sz="2" w:space="0"/>
              <w:right w:val="single" w:color="auto" w:sz="4"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cs="Times New Roman"/>
                <w:sz w:val="24"/>
              </w:rPr>
            </w:pPr>
          </w:p>
        </w:tc>
        <w:tc>
          <w:tcPr>
            <w:tcW w:w="1772" w:type="dxa"/>
            <w:vMerge w:val="continue"/>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油气配套管线</w:t>
            </w:r>
          </w:p>
        </w:tc>
        <w:tc>
          <w:tcPr>
            <w:tcW w:w="2289" w:type="dxa"/>
            <w:tcBorders>
              <w:left w:val="single" w:color="auto" w:sz="2" w:space="0"/>
              <w:right w:val="single" w:color="auto" w:sz="4"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cs="Times New Roman"/>
                <w:sz w:val="24"/>
              </w:rPr>
            </w:pPr>
          </w:p>
        </w:tc>
        <w:tc>
          <w:tcPr>
            <w:tcW w:w="1772" w:type="dxa"/>
            <w:vMerge w:val="continue"/>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油气电力设施</w:t>
            </w:r>
          </w:p>
        </w:tc>
        <w:tc>
          <w:tcPr>
            <w:tcW w:w="2289" w:type="dxa"/>
            <w:tcBorders>
              <w:left w:val="single" w:color="auto" w:sz="2" w:space="0"/>
              <w:right w:val="single" w:color="auto" w:sz="4"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cs="Times New Roman"/>
                <w:sz w:val="24"/>
              </w:rPr>
            </w:pPr>
          </w:p>
        </w:tc>
        <w:tc>
          <w:tcPr>
            <w:tcW w:w="1772" w:type="dxa"/>
            <w:vMerge w:val="continue"/>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油气进场道路</w:t>
            </w:r>
          </w:p>
        </w:tc>
        <w:tc>
          <w:tcPr>
            <w:tcW w:w="2289" w:type="dxa"/>
            <w:tcBorders>
              <w:left w:val="single" w:color="auto" w:sz="2" w:space="0"/>
              <w:bottom w:val="single" w:color="auto" w:sz="4" w:space="0"/>
              <w:right w:val="single" w:color="auto" w:sz="4"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cs="Times New Roman"/>
                <w:color w:val="000000"/>
                <w:sz w:val="24"/>
              </w:rPr>
            </w:pPr>
          </w:p>
        </w:tc>
        <w:tc>
          <w:tcPr>
            <w:tcW w:w="1772" w:type="dxa"/>
            <w:vMerge w:val="restart"/>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考古和文物</w:t>
            </w:r>
          </w:p>
          <w:p>
            <w:pPr>
              <w:overflowPunct w:val="0"/>
              <w:spacing w:line="28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保护类</w:t>
            </w:r>
          </w:p>
          <w:p>
            <w:pPr>
              <w:pStyle w:val="14"/>
              <w:widowControl w:val="0"/>
              <w:overflowPunct w:val="0"/>
              <w:jc w:val="center"/>
              <w:rPr>
                <w:rFonts w:hint="default" w:ascii="Times New Roman" w:hAnsi="Times New Roman" w:eastAsia="方正仿宋_GBK" w:cs="Times New Roman"/>
              </w:rPr>
            </w:pPr>
            <w:r>
              <w:rPr>
                <w:rFonts w:hint="default" w:ascii="Times New Roman" w:hAnsi="Times New Roman" w:eastAsia="方正仿宋_GBK" w:cs="Times New Roman"/>
              </w:rPr>
              <w:t>（  ）公顷</w:t>
            </w: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考古和文物临时性文物保护设施</w:t>
            </w:r>
          </w:p>
        </w:tc>
        <w:tc>
          <w:tcPr>
            <w:tcW w:w="2289" w:type="dxa"/>
            <w:tcBorders>
              <w:left w:val="single" w:color="auto" w:sz="2" w:space="0"/>
              <w:right w:val="single" w:color="auto" w:sz="4" w:space="0"/>
            </w:tcBorders>
            <w:noWrap w:val="0"/>
            <w:vAlign w:val="center"/>
          </w:tcPr>
          <w:p>
            <w:pPr>
              <w:overflowPunct w:val="0"/>
              <w:spacing w:line="280" w:lineRule="exact"/>
              <w:ind w:left="210" w:leftChars="100"/>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cs="Times New Roman"/>
              </w:rPr>
            </w:pPr>
          </w:p>
        </w:tc>
        <w:tc>
          <w:tcPr>
            <w:tcW w:w="1772" w:type="dxa"/>
            <w:vMerge w:val="continue"/>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rPr>
            </w:pP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考古和文物临时性工地安全设施</w:t>
            </w:r>
          </w:p>
        </w:tc>
        <w:tc>
          <w:tcPr>
            <w:tcW w:w="2289" w:type="dxa"/>
            <w:tcBorders>
              <w:left w:val="single" w:color="auto" w:sz="2" w:space="0"/>
              <w:right w:val="single" w:color="auto" w:sz="4"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cs="Times New Roman"/>
                <w:sz w:val="24"/>
              </w:rPr>
            </w:pPr>
          </w:p>
        </w:tc>
        <w:tc>
          <w:tcPr>
            <w:tcW w:w="1772" w:type="dxa"/>
            <w:vMerge w:val="continue"/>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考古和文物临时性后勤设施</w:t>
            </w:r>
          </w:p>
        </w:tc>
        <w:tc>
          <w:tcPr>
            <w:tcW w:w="2289" w:type="dxa"/>
            <w:tcBorders>
              <w:left w:val="single" w:color="auto" w:sz="2" w:space="0"/>
              <w:bottom w:val="single" w:color="auto" w:sz="4" w:space="0"/>
              <w:right w:val="single" w:color="auto" w:sz="4"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6"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cs="Times New Roman"/>
                <w:color w:val="000000"/>
                <w:sz w:val="24"/>
              </w:rPr>
            </w:pPr>
          </w:p>
        </w:tc>
        <w:tc>
          <w:tcPr>
            <w:tcW w:w="1772" w:type="dxa"/>
            <w:vMerge w:val="restart"/>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法律法规规定的其他情形</w:t>
            </w:r>
          </w:p>
          <w:p>
            <w:pPr>
              <w:pStyle w:val="14"/>
              <w:widowControl w:val="0"/>
              <w:overflowPunct w:val="0"/>
              <w:jc w:val="center"/>
              <w:rPr>
                <w:rFonts w:hint="default" w:ascii="Times New Roman" w:hAnsi="Times New Roman" w:eastAsia="方正仿宋_GBK" w:cs="Times New Roman"/>
              </w:rPr>
            </w:pPr>
            <w:r>
              <w:rPr>
                <w:rFonts w:hint="default" w:ascii="Times New Roman" w:hAnsi="Times New Roman" w:eastAsia="方正仿宋_GBK" w:cs="Times New Roman"/>
              </w:rPr>
              <w:t>（  ）公顷</w:t>
            </w: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rPr>
                <w:rFonts w:hint="default" w:ascii="Times New Roman" w:hAnsi="Times New Roman" w:eastAsia="方正仿宋_GBK" w:cs="Times New Roman"/>
                <w:sz w:val="24"/>
              </w:rPr>
            </w:pPr>
          </w:p>
        </w:tc>
        <w:tc>
          <w:tcPr>
            <w:tcW w:w="2289" w:type="dxa"/>
            <w:tcBorders>
              <w:left w:val="single" w:color="auto" w:sz="2" w:space="0"/>
              <w:right w:val="single" w:color="auto" w:sz="4" w:space="0"/>
            </w:tcBorders>
            <w:noWrap w:val="0"/>
            <w:vAlign w:val="center"/>
          </w:tcPr>
          <w:p>
            <w:pPr>
              <w:overflowPunct w:val="0"/>
              <w:spacing w:line="280" w:lineRule="exact"/>
              <w:ind w:left="210" w:leftChars="100"/>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6" w:hRule="atLeast"/>
          <w:jc w:val="center"/>
        </w:trPr>
        <w:tc>
          <w:tcPr>
            <w:tcW w:w="662" w:type="dxa"/>
            <w:vMerge w:val="continue"/>
            <w:tcBorders>
              <w:left w:val="single" w:color="auto" w:sz="4" w:space="0"/>
              <w:right w:val="single" w:color="auto" w:sz="4" w:space="0"/>
            </w:tcBorders>
            <w:noWrap w:val="0"/>
            <w:vAlign w:val="center"/>
          </w:tcPr>
          <w:p>
            <w:pPr>
              <w:overflowPunct w:val="0"/>
              <w:jc w:val="center"/>
              <w:rPr>
                <w:rFonts w:hint="default" w:ascii="Times New Roman" w:hAnsi="Times New Roman" w:cs="Times New Roman"/>
              </w:rPr>
            </w:pPr>
          </w:p>
        </w:tc>
        <w:tc>
          <w:tcPr>
            <w:tcW w:w="1772" w:type="dxa"/>
            <w:vMerge w:val="continue"/>
            <w:tcBorders>
              <w:left w:val="single" w:color="auto" w:sz="4" w:space="0"/>
              <w:right w:val="single" w:color="auto" w:sz="2" w:space="0"/>
            </w:tcBorders>
            <w:noWrap w:val="0"/>
            <w:vAlign w:val="center"/>
          </w:tcPr>
          <w:p>
            <w:pPr>
              <w:overflowPunct w:val="0"/>
              <w:spacing w:line="280" w:lineRule="exact"/>
              <w:jc w:val="center"/>
              <w:rPr>
                <w:rFonts w:hint="default" w:ascii="Times New Roman" w:hAnsi="Times New Roman" w:cs="Times New Roman"/>
              </w:rPr>
            </w:pPr>
          </w:p>
        </w:tc>
        <w:tc>
          <w:tcPr>
            <w:tcW w:w="4831" w:type="dxa"/>
            <w:gridSpan w:val="2"/>
            <w:tcBorders>
              <w:left w:val="single" w:color="auto" w:sz="2" w:space="0"/>
              <w:bottom w:val="single" w:color="auto" w:sz="4" w:space="0"/>
              <w:right w:val="single" w:color="auto" w:sz="4" w:space="0"/>
            </w:tcBorders>
            <w:noWrap w:val="0"/>
            <w:vAlign w:val="center"/>
          </w:tcPr>
          <w:p>
            <w:pPr>
              <w:overflowPunct w:val="0"/>
              <w:spacing w:line="280" w:lineRule="exact"/>
              <w:ind w:firstLine="218" w:firstLineChars="91"/>
              <w:jc w:val="center"/>
              <w:rPr>
                <w:rFonts w:hint="default" w:ascii="Times New Roman" w:hAnsi="Times New Roman" w:eastAsia="方正仿宋_GBK" w:cs="Times New Roman"/>
                <w:sz w:val="24"/>
              </w:rPr>
            </w:pPr>
          </w:p>
        </w:tc>
        <w:tc>
          <w:tcPr>
            <w:tcW w:w="2289" w:type="dxa"/>
            <w:tcBorders>
              <w:left w:val="single" w:color="auto" w:sz="2" w:space="0"/>
              <w:bottom w:val="single" w:color="auto" w:sz="4" w:space="0"/>
              <w:right w:val="single" w:color="auto" w:sz="4" w:space="0"/>
            </w:tcBorders>
            <w:noWrap w:val="0"/>
            <w:vAlign w:val="center"/>
          </w:tcPr>
          <w:p>
            <w:pPr>
              <w:overflowPunct w:val="0"/>
              <w:spacing w:line="2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6"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申请</w:t>
            </w:r>
          </w:p>
          <w:p>
            <w:pPr>
              <w:overflowPunct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单位</w:t>
            </w:r>
          </w:p>
          <w:p>
            <w:pPr>
              <w:overflowPunct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承诺</w:t>
            </w:r>
          </w:p>
        </w:tc>
        <w:tc>
          <w:tcPr>
            <w:tcW w:w="8892" w:type="dxa"/>
            <w:gridSpan w:val="4"/>
            <w:tcBorders>
              <w:top w:val="single" w:color="auto" w:sz="4" w:space="0"/>
              <w:left w:val="single" w:color="auto" w:sz="4" w:space="0"/>
              <w:bottom w:val="single" w:color="auto" w:sz="4" w:space="0"/>
              <w:right w:val="single" w:color="auto" w:sz="4" w:space="0"/>
            </w:tcBorders>
            <w:noWrap w:val="0"/>
            <w:vAlign w:val="center"/>
          </w:tcPr>
          <w:p>
            <w:pPr>
              <w:overflowPunct w:val="0"/>
              <w:spacing w:line="280" w:lineRule="exact"/>
              <w:ind w:firstLine="480" w:firstLineChars="20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本表填报的内容及提交的所有材料真实，并对其实质内容的真实性负责。如有任何虚假，将承担一切后果及法律责任。</w:t>
            </w:r>
          </w:p>
          <w:p>
            <w:pPr>
              <w:overflowPunct w:val="0"/>
              <w:spacing w:line="280" w:lineRule="exact"/>
              <w:ind w:firstLine="480" w:firstLineChars="200"/>
              <w:jc w:val="center"/>
              <w:rPr>
                <w:rFonts w:hint="default" w:ascii="Times New Roman" w:hAnsi="Times New Roman" w:eastAsia="方正仿宋_GBK" w:cs="Times New Roman"/>
                <w:sz w:val="24"/>
              </w:rPr>
            </w:pPr>
          </w:p>
          <w:p>
            <w:pPr>
              <w:overflowPunct w:val="0"/>
              <w:spacing w:line="280" w:lineRule="exact"/>
              <w:jc w:val="center"/>
              <w:rPr>
                <w:rFonts w:hint="default" w:ascii="Times New Roman" w:hAnsi="Times New Roman" w:eastAsia="方正仿宋_GBK" w:cs="Times New Roman"/>
                <w:sz w:val="24"/>
              </w:rPr>
            </w:pPr>
          </w:p>
          <w:p>
            <w:pPr>
              <w:overflowPunct w:val="0"/>
              <w:spacing w:line="280" w:lineRule="exact"/>
              <w:ind w:firstLine="480" w:firstLineChars="20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申请单位（盖章）：            法定代表人（负责人）签字：</w:t>
            </w:r>
          </w:p>
          <w:p>
            <w:pPr>
              <w:overflowPunct w:val="0"/>
              <w:spacing w:line="280" w:lineRule="exact"/>
              <w:jc w:val="center"/>
              <w:rPr>
                <w:rFonts w:hint="default" w:ascii="Times New Roman" w:hAnsi="Times New Roman" w:eastAsia="方正仿宋_GBK" w:cs="Times New Roman"/>
                <w:sz w:val="24"/>
              </w:rPr>
            </w:pPr>
          </w:p>
          <w:p>
            <w:pPr>
              <w:overflowPunct w:val="0"/>
              <w:spacing w:line="280" w:lineRule="exact"/>
              <w:ind w:firstLine="2640" w:firstLineChars="110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tc>
      </w:tr>
    </w:tbl>
    <w:p>
      <w:pPr>
        <w:overflowPunct w:val="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填表说明：</w:t>
      </w:r>
    </w:p>
    <w:p>
      <w:pPr>
        <w:overflowPunct w:val="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1.本表双面打印，提供原件1份。</w:t>
      </w:r>
    </w:p>
    <w:p>
      <w:pPr>
        <w:overflowPunct w:val="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2.临时用地申请单位应当是项目法人或者地质勘查批准文件、勘查许可证等确定的主体单位，不得将受委托单位信息填至临时用地单位情况栏。</w:t>
      </w:r>
    </w:p>
    <w:p>
      <w:pPr>
        <w:overflowPunct w:val="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3.不</w:t>
      </w:r>
      <w:r>
        <w:rPr>
          <w:rFonts w:hint="default" w:ascii="Times New Roman" w:hAnsi="Times New Roman" w:eastAsia="方正仿宋_GBK" w:cs="Times New Roman"/>
          <w:szCs w:val="21"/>
        </w:rPr>
        <w:t>属于能源交通水利等基础设施项目的不得申请取土场、弃土（渣）场临时用地，制梁场、拌合站临时用地禁止占用耕地和永久基本农田。</w:t>
      </w:r>
    </w:p>
    <w:p>
      <w:pPr>
        <w:overflowPunct w:val="0"/>
        <w:rPr>
          <w:rFonts w:hint="default" w:ascii="Times New Roman" w:hAnsi="Times New Roman" w:eastAsia="方正仿宋_GBK" w:cs="Times New Roman"/>
          <w:color w:val="000000"/>
          <w:szCs w:val="21"/>
        </w:rPr>
      </w:pPr>
      <w:r>
        <w:rPr>
          <w:rFonts w:hint="default" w:ascii="Times New Roman" w:hAnsi="Times New Roman" w:eastAsia="方正仿宋_GBK" w:cs="Times New Roman"/>
          <w:szCs w:val="21"/>
        </w:rPr>
        <w:t>4.临时使用土地范围要与土地复垦方案中的具体地块一致，地类面积数据统计口径与土地复垦方案一致。</w:t>
      </w:r>
    </w:p>
    <w:p>
      <w:pPr>
        <w:pStyle w:val="14"/>
        <w:widowControl w:val="0"/>
        <w:overflowPunct w:val="0"/>
        <w:rPr>
          <w:rFonts w:hint="default" w:ascii="Times New Roman" w:hAnsi="Times New Roman" w:cs="Times New Roman"/>
        </w:rPr>
      </w:pPr>
    </w:p>
    <w:p>
      <w:pPr>
        <w:pStyle w:val="14"/>
        <w:widowControl w:val="0"/>
        <w:overflowPunct w:val="0"/>
        <w:rPr>
          <w:rFonts w:hint="default" w:ascii="Times New Roman" w:hAnsi="Times New Roman" w:cs="Times New Roman"/>
        </w:rPr>
      </w:pPr>
    </w:p>
    <w:p>
      <w:pPr>
        <w:pStyle w:val="14"/>
        <w:widowControl w:val="0"/>
        <w:overflowPunct w:val="0"/>
        <w:rPr>
          <w:rFonts w:hint="default" w:ascii="Times New Roman" w:hAnsi="Times New Roman" w:cs="Times New Roman"/>
        </w:rPr>
      </w:pPr>
    </w:p>
    <w:p>
      <w:pPr>
        <w:pStyle w:val="14"/>
        <w:widowControl w:val="0"/>
        <w:overflowPunct w:val="0"/>
        <w:rPr>
          <w:rFonts w:hint="default" w:ascii="Times New Roman" w:hAnsi="Times New Roman" w:cs="Times New Roman"/>
        </w:rPr>
      </w:pPr>
    </w:p>
    <w:p>
      <w:pPr>
        <w:pStyle w:val="14"/>
        <w:widowControl w:val="0"/>
        <w:overflowPunct w:val="0"/>
        <w:rPr>
          <w:rFonts w:hint="default" w:ascii="Times New Roman" w:hAnsi="Times New Roman" w:cs="Times New Roman"/>
        </w:rPr>
      </w:pPr>
    </w:p>
    <w:p>
      <w:pPr>
        <w:pStyle w:val="14"/>
        <w:widowControl w:val="0"/>
        <w:overflowPunct w:val="0"/>
        <w:rPr>
          <w:rFonts w:hint="default" w:ascii="Times New Roman" w:hAnsi="Times New Roman" w:cs="Times New Roman"/>
        </w:rPr>
      </w:pPr>
    </w:p>
    <w:p>
      <w:pPr>
        <w:pStyle w:val="14"/>
        <w:widowControl w:val="0"/>
        <w:overflowPunct w:val="0"/>
        <w:rPr>
          <w:rFonts w:hint="default" w:ascii="Times New Roman" w:hAnsi="Times New Roman" w:cs="Times New Roman"/>
        </w:rPr>
      </w:pPr>
    </w:p>
    <w:p>
      <w:pPr>
        <w:pStyle w:val="14"/>
        <w:widowControl w:val="0"/>
        <w:overflowPunct w:val="0"/>
        <w:rPr>
          <w:rFonts w:hint="default" w:ascii="Times New Roman" w:hAnsi="Times New Roman" w:cs="Times New Roman"/>
        </w:rPr>
      </w:pPr>
    </w:p>
    <w:p>
      <w:pPr>
        <w:pStyle w:val="14"/>
        <w:widowControl w:val="0"/>
        <w:overflowPunct w:val="0"/>
        <w:rPr>
          <w:rFonts w:hint="default" w:ascii="Times New Roman" w:hAnsi="Times New Roman" w:cs="Times New Roman"/>
        </w:rPr>
      </w:pPr>
    </w:p>
    <w:p>
      <w:pPr>
        <w:pStyle w:val="14"/>
        <w:widowControl w:val="0"/>
        <w:overflowPunct w:val="0"/>
        <w:rPr>
          <w:rFonts w:hint="default" w:ascii="Times New Roman" w:hAnsi="Times New Roman" w:cs="Times New Roman"/>
        </w:rPr>
      </w:pPr>
    </w:p>
    <w:p>
      <w:pPr>
        <w:pStyle w:val="3"/>
        <w:rPr>
          <w:rFonts w:hint="default" w:ascii="Times New Roman" w:hAnsi="Times New Roman" w:cs="Times New Roman"/>
          <w:lang w:eastAsia="zh-CN"/>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149225</wp:posOffset>
              </wp:positionV>
              <wp:extent cx="5159375" cy="889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159375"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5pt;margin-top:11.75pt;height:0.7pt;width:406.25pt;z-index:251659264;mso-width-relative:page;mso-height-relative:page;" filled="f" stroked="t" coordsize="21600,21600" o:gfxdata="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IEY81gAAAAgBAAAPAAAAAAAAAAEAIAAAACIAAABk&#10;cnMvZG93bnJldi54bWxQSwECFAAUAAAACACHTuJAWkSSBs8BAABpAwAADgAAAAAAAAABACAAAAAl&#10;AQAAZHJzL2Uyb0RvYy54bWxQSwUGAAAAAAYABgBZAQAAZgUAAAAA&#10;">
              <v:fill on="f" focussize="0,0"/>
              <v:stroke weight="1.75pt" color="#005192 [3204]" miterlimit="8" joinstyle="miter"/>
              <v:imagedata o:title=""/>
              <o:lock v:ext="edit" aspectratio="f"/>
            </v:line>
          </w:pict>
        </mc:Fallback>
      </mc:AlternateContent>
    </w:r>
  </w:p>
  <w:p>
    <w:pPr>
      <w:pStyle w:val="7"/>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55880</wp:posOffset>
              </wp:positionV>
              <wp:extent cx="5130800" cy="8255"/>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4.4pt;height:0.65pt;width:404pt;z-index:251661312;mso-width-relative:page;mso-height-relative:page;" filled="f" stroked="t" coordsize="21600,21600" o:gfxdata="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tFuXDTAAAABQEAAA8AAAAAAAAAAQAgAAAAIgAA&#10;AGRycy9kb3ducmV2LnhtbFBLAQIUABQAAAAIAIdO4kCsKLoJ1AEAAHEDAAAOAAAAAAAAAAEAIAAA&#10;ACIBAABkcnMvZTJvRG9jLnhtbFBLBQYAAAAABgAGAFkBAABoBQ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jQ1NWNiZjRlZGFmN2JjNGRhOTM0MGE5NmZhNzAifQ=="/>
  </w:docVars>
  <w:rsids>
    <w:rsidRoot w:val="00172A27"/>
    <w:rsid w:val="00147A43"/>
    <w:rsid w:val="019E71BD"/>
    <w:rsid w:val="01E93D58"/>
    <w:rsid w:val="0281437C"/>
    <w:rsid w:val="04B679C3"/>
    <w:rsid w:val="05F07036"/>
    <w:rsid w:val="06E00104"/>
    <w:rsid w:val="080F63D8"/>
    <w:rsid w:val="08357920"/>
    <w:rsid w:val="09341458"/>
    <w:rsid w:val="098254C2"/>
    <w:rsid w:val="0A766EDE"/>
    <w:rsid w:val="0AD64BE8"/>
    <w:rsid w:val="0B0912D7"/>
    <w:rsid w:val="0B3562F0"/>
    <w:rsid w:val="0E025194"/>
    <w:rsid w:val="0EEF0855"/>
    <w:rsid w:val="0F017ABD"/>
    <w:rsid w:val="0F782CBA"/>
    <w:rsid w:val="102E37C9"/>
    <w:rsid w:val="11DB7C71"/>
    <w:rsid w:val="13842544"/>
    <w:rsid w:val="146A155A"/>
    <w:rsid w:val="152D2DCA"/>
    <w:rsid w:val="187168EA"/>
    <w:rsid w:val="196673CA"/>
    <w:rsid w:val="1CF734C9"/>
    <w:rsid w:val="1DEC284C"/>
    <w:rsid w:val="1E6523AC"/>
    <w:rsid w:val="21947EE0"/>
    <w:rsid w:val="22440422"/>
    <w:rsid w:val="22BB4BBB"/>
    <w:rsid w:val="250F007B"/>
    <w:rsid w:val="252A5D01"/>
    <w:rsid w:val="25EB1AF4"/>
    <w:rsid w:val="26667959"/>
    <w:rsid w:val="28726CCE"/>
    <w:rsid w:val="2BD85E98"/>
    <w:rsid w:val="2CC1059D"/>
    <w:rsid w:val="2DD05FE1"/>
    <w:rsid w:val="2EAE3447"/>
    <w:rsid w:val="2FDD1FA0"/>
    <w:rsid w:val="31A15F24"/>
    <w:rsid w:val="3309317A"/>
    <w:rsid w:val="34361A43"/>
    <w:rsid w:val="36FB1DF0"/>
    <w:rsid w:val="395347B5"/>
    <w:rsid w:val="39A232A0"/>
    <w:rsid w:val="39E745AA"/>
    <w:rsid w:val="3B5A6BBB"/>
    <w:rsid w:val="3C4A1481"/>
    <w:rsid w:val="3CA154E3"/>
    <w:rsid w:val="3CEF7033"/>
    <w:rsid w:val="3EDA13A6"/>
    <w:rsid w:val="3FF56C14"/>
    <w:rsid w:val="403D3821"/>
    <w:rsid w:val="417B75E9"/>
    <w:rsid w:val="42430A63"/>
    <w:rsid w:val="42F058B7"/>
    <w:rsid w:val="436109F6"/>
    <w:rsid w:val="4388249F"/>
    <w:rsid w:val="441A38D4"/>
    <w:rsid w:val="4504239D"/>
    <w:rsid w:val="4729552B"/>
    <w:rsid w:val="481E75AD"/>
    <w:rsid w:val="4BC77339"/>
    <w:rsid w:val="4C9236C5"/>
    <w:rsid w:val="4E250A85"/>
    <w:rsid w:val="4F1D01AA"/>
    <w:rsid w:val="4FEF254B"/>
    <w:rsid w:val="4FFD4925"/>
    <w:rsid w:val="500509E0"/>
    <w:rsid w:val="505C172E"/>
    <w:rsid w:val="506405EA"/>
    <w:rsid w:val="521B453A"/>
    <w:rsid w:val="529952BE"/>
    <w:rsid w:val="52F46F0B"/>
    <w:rsid w:val="530E7DAF"/>
    <w:rsid w:val="53140A67"/>
    <w:rsid w:val="53231B46"/>
    <w:rsid w:val="532B6A10"/>
    <w:rsid w:val="539E4E99"/>
    <w:rsid w:val="53D8014D"/>
    <w:rsid w:val="54AA73E3"/>
    <w:rsid w:val="550C209A"/>
    <w:rsid w:val="55E064E0"/>
    <w:rsid w:val="572C6D10"/>
    <w:rsid w:val="57A812F6"/>
    <w:rsid w:val="584C7403"/>
    <w:rsid w:val="5C321B5D"/>
    <w:rsid w:val="5D062F43"/>
    <w:rsid w:val="5DC34279"/>
    <w:rsid w:val="5FCD688E"/>
    <w:rsid w:val="5FF9BDAA"/>
    <w:rsid w:val="608816D1"/>
    <w:rsid w:val="60EF4E7F"/>
    <w:rsid w:val="643A3F71"/>
    <w:rsid w:val="648B0A32"/>
    <w:rsid w:val="658F6764"/>
    <w:rsid w:val="65EA749B"/>
    <w:rsid w:val="665233C1"/>
    <w:rsid w:val="69AC0D42"/>
    <w:rsid w:val="69C46BD0"/>
    <w:rsid w:val="6AD9688B"/>
    <w:rsid w:val="6B68303F"/>
    <w:rsid w:val="6C147A10"/>
    <w:rsid w:val="6CFE0643"/>
    <w:rsid w:val="6D0E3F22"/>
    <w:rsid w:val="6FDE0477"/>
    <w:rsid w:val="744E4660"/>
    <w:rsid w:val="753355A2"/>
    <w:rsid w:val="759F1C61"/>
    <w:rsid w:val="769F2DE8"/>
    <w:rsid w:val="76FDEB7C"/>
    <w:rsid w:val="77496964"/>
    <w:rsid w:val="79C65162"/>
    <w:rsid w:val="79EA5686"/>
    <w:rsid w:val="79EE7E31"/>
    <w:rsid w:val="7B3D7912"/>
    <w:rsid w:val="7C8915F3"/>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3">
    <w:name w:val="Body Text"/>
    <w:basedOn w:val="1"/>
    <w:next w:val="1"/>
    <w:qFormat/>
    <w:uiPriority w:val="0"/>
    <w:pPr>
      <w:ind w:left="100" w:firstLine="559"/>
      <w:jc w:val="left"/>
    </w:pPr>
    <w:rPr>
      <w:rFonts w:ascii="宋体" w:hAnsi="宋体" w:eastAsia="宋体" w:cs="Times New Roman"/>
      <w:snapToGrid/>
      <w:sz w:val="28"/>
      <w:szCs w:val="28"/>
      <w:lang w:eastAsia="en-US"/>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4">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5806</Words>
  <Characters>5860</Characters>
  <Lines>1</Lines>
  <Paragraphs>1</Paragraphs>
  <TotalTime>5</TotalTime>
  <ScaleCrop>false</ScaleCrop>
  <LinksUpToDate>false</LinksUpToDate>
  <CharactersWithSpaces>6117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蒋娅</cp:lastModifiedBy>
  <cp:lastPrinted>2022-06-07T00:09:00Z</cp:lastPrinted>
  <dcterms:modified xsi:type="dcterms:W3CDTF">2022-06-15T02:14:25Z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442F70B440F5402C896E032E4633C5D3</vt:lpwstr>
  </property>
</Properties>
</file>