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napToGrid w:val="0"/>
        <w:spacing w:line="600" w:lineRule="exact"/>
        <w:jc w:val="center"/>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outlineLvl w:val="9"/>
        <w:rPr>
          <w:rFonts w:hint="default" w:ascii="Times New Roman" w:hAnsi="Times New Roman" w:eastAsia="方正仿宋_GBK" w:cs="Times New Roman"/>
          <w:snapToGrid w:val="0"/>
          <w:color w:val="auto"/>
          <w:kern w:val="0"/>
          <w:sz w:val="32"/>
          <w:szCs w:val="32"/>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eastAsia="方正小标宋_GBK"/>
          <w:spacing w:val="0"/>
          <w:sz w:val="44"/>
          <w:szCs w:val="44"/>
        </w:rPr>
      </w:pPr>
      <w:r>
        <w:rPr>
          <w:rFonts w:hint="eastAsia" w:eastAsia="方正小标宋_GBK"/>
          <w:spacing w:val="0"/>
          <w:sz w:val="44"/>
          <w:szCs w:val="44"/>
        </w:rPr>
        <w:t>重庆市规</w:t>
      </w:r>
      <w:bookmarkStart w:id="0" w:name="_GoBack"/>
      <w:bookmarkEnd w:id="0"/>
      <w:r>
        <w:rPr>
          <w:rFonts w:hint="eastAsia" w:eastAsia="方正小标宋_GBK"/>
          <w:spacing w:val="0"/>
          <w:sz w:val="44"/>
          <w:szCs w:val="44"/>
        </w:rPr>
        <w:t>划和自然资源局</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_GBK" w:hAnsi="宋体" w:eastAsia="方正小标宋_GBK" w:cs="方正小标宋_GBK"/>
          <w:spacing w:val="0"/>
          <w:kern w:val="0"/>
          <w:sz w:val="44"/>
          <w:szCs w:val="44"/>
          <w:lang w:eastAsia="zh-CN"/>
        </w:rPr>
      </w:pPr>
      <w:r>
        <w:rPr>
          <w:rFonts w:hint="eastAsia" w:eastAsia="方正小标宋_GBK"/>
          <w:spacing w:val="0"/>
          <w:sz w:val="44"/>
          <w:szCs w:val="44"/>
        </w:rPr>
        <w:t>关于印发《</w:t>
      </w:r>
      <w:r>
        <w:rPr>
          <w:rFonts w:hint="eastAsia" w:ascii="方正小标宋_GBK" w:hAnsi="宋体" w:eastAsia="方正小标宋_GBK" w:cs="方正小标宋_GBK"/>
          <w:spacing w:val="0"/>
          <w:kern w:val="0"/>
          <w:sz w:val="44"/>
          <w:szCs w:val="44"/>
        </w:rPr>
        <w:t>重庆市</w:t>
      </w:r>
      <w:r>
        <w:rPr>
          <w:rFonts w:hint="eastAsia" w:ascii="方正小标宋_GBK" w:hAnsi="宋体" w:eastAsia="方正小标宋_GBK" w:cs="方正小标宋_GBK"/>
          <w:spacing w:val="0"/>
          <w:kern w:val="0"/>
          <w:sz w:val="44"/>
          <w:szCs w:val="44"/>
          <w:lang w:eastAsia="zh-CN"/>
        </w:rPr>
        <w:t>国有土地使用权</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eastAsia="方正小标宋_GBK"/>
          <w:spacing w:val="0"/>
          <w:sz w:val="44"/>
          <w:szCs w:val="44"/>
        </w:rPr>
      </w:pPr>
      <w:r>
        <w:rPr>
          <w:rFonts w:hint="eastAsia" w:ascii="方正小标宋_GBK" w:hAnsi="宋体" w:eastAsia="方正小标宋_GBK" w:cs="方正小标宋_GBK"/>
          <w:spacing w:val="0"/>
          <w:kern w:val="0"/>
          <w:sz w:val="44"/>
          <w:szCs w:val="44"/>
          <w:lang w:eastAsia="zh-CN"/>
        </w:rPr>
        <w:t>收回收购办法</w:t>
      </w:r>
      <w:r>
        <w:rPr>
          <w:rFonts w:hint="eastAsia" w:eastAsia="方正小标宋_GBK"/>
          <w:spacing w:val="0"/>
          <w:sz w:val="44"/>
          <w:szCs w:val="44"/>
        </w:rPr>
        <w:t>》的通知</w:t>
      </w:r>
    </w:p>
    <w:p>
      <w:pPr>
        <w:keepNext w:val="0"/>
        <w:keepLines w:val="0"/>
        <w:pageBreakBefore w:val="0"/>
        <w:kinsoku/>
        <w:wordWrap/>
        <w:overflowPunct/>
        <w:topLinePunct w:val="0"/>
        <w:autoSpaceDE/>
        <w:autoSpaceDN/>
        <w:bidi w:val="0"/>
        <w:snapToGrid w:val="0"/>
        <w:spacing w:line="600" w:lineRule="exact"/>
        <w:jc w:val="center"/>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渝规资规范〔202</w:t>
      </w:r>
      <w:r>
        <w:rPr>
          <w:rFonts w:hint="eastAsia" w:ascii="Times New Roman" w:hAnsi="Times New Roman" w:eastAsia="方正仿宋_GBK" w:cs="Times New Roman"/>
          <w:spacing w:val="0"/>
          <w:sz w:val="32"/>
          <w:szCs w:val="32"/>
          <w:lang w:val="en-US" w:eastAsia="zh-CN"/>
        </w:rPr>
        <w:t>4</w:t>
      </w:r>
      <w:r>
        <w:rPr>
          <w:rFonts w:hint="default" w:ascii="Times New Roman" w:hAnsi="Times New Roman" w:eastAsia="方正仿宋_GBK" w:cs="Times New Roman"/>
          <w:spacing w:val="0"/>
          <w:sz w:val="32"/>
          <w:szCs w:val="32"/>
          <w:lang w:val="en-US" w:eastAsia="zh-CN"/>
        </w:rPr>
        <w:t>〕1号</w:t>
      </w:r>
    </w:p>
    <w:p>
      <w:pPr>
        <w:keepNext w:val="0"/>
        <w:keepLines w:val="0"/>
        <w:snapToGrid w:val="0"/>
        <w:jc w:val="center"/>
        <w:rPr>
          <w:rFonts w:hint="default"/>
          <w:lang w:val="en-US" w:eastAsia="zh-CN"/>
        </w:rPr>
      </w:pPr>
    </w:p>
    <w:p>
      <w:pPr>
        <w:keepNext w:val="0"/>
        <w:keepLines w:val="0"/>
        <w:pageBreakBefore w:val="0"/>
        <w:kinsoku/>
        <w:wordWrap/>
        <w:overflowPunct/>
        <w:topLinePunct w:val="0"/>
        <w:autoSpaceDE/>
        <w:autoSpaceDN/>
        <w:bidi w:val="0"/>
        <w:snapToGrid w:val="0"/>
        <w:spacing w:line="600" w:lineRule="exact"/>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各区县（自治县）</w:t>
      </w:r>
      <w:r>
        <w:rPr>
          <w:rFonts w:hint="eastAsia" w:ascii="Times New Roman" w:hAnsi="Times New Roman" w:eastAsia="方正仿宋_GBK" w:cs="方正仿宋_GBK"/>
          <w:spacing w:val="0"/>
          <w:sz w:val="32"/>
          <w:szCs w:val="32"/>
          <w:lang w:eastAsia="zh-CN"/>
        </w:rPr>
        <w:t>规划自然资源局，</w:t>
      </w:r>
      <w:r>
        <w:rPr>
          <w:rFonts w:hint="eastAsia" w:ascii="Times New Roman" w:hAnsi="Times New Roman" w:eastAsia="方正仿宋_GBK" w:cs="方正仿宋_GBK"/>
          <w:spacing w:val="0"/>
          <w:sz w:val="32"/>
          <w:szCs w:val="32"/>
        </w:rPr>
        <w:t>各有关单位：</w:t>
      </w:r>
    </w:p>
    <w:p>
      <w:pPr>
        <w:keepNext w:val="0"/>
        <w:keepLines w:val="0"/>
        <w:snapToGrid w:val="0"/>
        <w:spacing w:line="600" w:lineRule="exact"/>
        <w:ind w:firstLine="640" w:firstLineChars="200"/>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《重庆市</w:t>
      </w:r>
      <w:r>
        <w:rPr>
          <w:rFonts w:hint="eastAsia" w:ascii="Times New Roman" w:hAnsi="Times New Roman" w:eastAsia="方正仿宋_GBK" w:cs="方正仿宋_GBK"/>
          <w:spacing w:val="0"/>
          <w:sz w:val="32"/>
          <w:szCs w:val="32"/>
          <w:lang w:eastAsia="zh-CN"/>
        </w:rPr>
        <w:t>国有土地使用权收回收购办法</w:t>
      </w:r>
      <w:r>
        <w:rPr>
          <w:rFonts w:hint="eastAsia" w:ascii="Times New Roman" w:hAnsi="Times New Roman" w:eastAsia="方正仿宋_GBK" w:cs="方正仿宋_GBK"/>
          <w:spacing w:val="0"/>
          <w:sz w:val="32"/>
          <w:szCs w:val="32"/>
        </w:rPr>
        <w:t>》已经</w:t>
      </w:r>
      <w:r>
        <w:rPr>
          <w:rFonts w:hint="eastAsia" w:ascii="Times New Roman" w:hAnsi="Times New Roman" w:eastAsia="方正仿宋_GBK" w:cs="方正仿宋_GBK"/>
          <w:spacing w:val="0"/>
          <w:sz w:val="32"/>
          <w:szCs w:val="32"/>
          <w:lang w:eastAsia="zh-CN"/>
        </w:rPr>
        <w:t>修订</w:t>
      </w:r>
      <w:r>
        <w:rPr>
          <w:rFonts w:hint="eastAsia" w:ascii="Times New Roman" w:hAnsi="Times New Roman" w:eastAsia="方正仿宋_GBK" w:cs="方正仿宋_GBK"/>
          <w:spacing w:val="0"/>
          <w:sz w:val="32"/>
          <w:szCs w:val="32"/>
        </w:rPr>
        <w:t>，现印发给你们，请认真遵照执行。</w:t>
      </w:r>
    </w:p>
    <w:p>
      <w:pPr>
        <w:pStyle w:val="2"/>
        <w:rPr>
          <w:rFonts w:hint="eastAsia"/>
        </w:rPr>
      </w:pP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方正仿宋_GBK"/>
          <w:spacing w:val="0"/>
          <w:sz w:val="32"/>
          <w:szCs w:val="32"/>
          <w:lang w:val="en-US" w:eastAsia="zh-CN"/>
        </w:rPr>
      </w:pPr>
      <w:r>
        <w:rPr>
          <w:rFonts w:hint="eastAsia" w:ascii="Times New Roman" w:hAnsi="Times New Roman" w:eastAsia="方正仿宋_GBK" w:cs="方正仿宋_GBK"/>
          <w:spacing w:val="0"/>
          <w:sz w:val="32"/>
          <w:szCs w:val="32"/>
          <w:lang w:val="en-US" w:eastAsia="zh-CN"/>
        </w:rPr>
        <w:t>附件：重庆市国有土地使用权收回收购办法</w:t>
      </w:r>
    </w:p>
    <w:p>
      <w:pPr>
        <w:keepNext w:val="0"/>
        <w:keepLines w:val="0"/>
        <w:pageBreakBefore w:val="0"/>
        <w:kinsoku/>
        <w:wordWrap/>
        <w:overflowPunct/>
        <w:topLinePunct w:val="0"/>
        <w:autoSpaceDE/>
        <w:autoSpaceDN/>
        <w:bidi w:val="0"/>
        <w:snapToGrid w:val="0"/>
        <w:spacing w:line="600" w:lineRule="exact"/>
        <w:ind w:firstLine="0" w:firstLineChars="0"/>
        <w:textAlignment w:val="auto"/>
        <w:rPr>
          <w:rFonts w:hint="eastAsia" w:ascii="Times New Roman" w:hAnsi="Times New Roman" w:eastAsia="方正仿宋_GBK" w:cs="方正仿宋_GBK"/>
          <w:spacing w:val="0"/>
          <w:sz w:val="32"/>
          <w:szCs w:val="32"/>
        </w:rPr>
      </w:pPr>
    </w:p>
    <w:p>
      <w:pPr>
        <w:keepNext w:val="0"/>
        <w:keepLines w:val="0"/>
        <w:pageBreakBefore w:val="0"/>
        <w:widowControl/>
        <w:kinsoku/>
        <w:wordWrap/>
        <w:overflowPunct/>
        <w:topLinePunct w:val="0"/>
        <w:autoSpaceDE/>
        <w:autoSpaceDN/>
        <w:bidi w:val="0"/>
        <w:snapToGrid w:val="0"/>
        <w:spacing w:line="600" w:lineRule="exact"/>
        <w:jc w:val="center"/>
        <w:textAlignment w:val="auto"/>
        <w:rPr>
          <w:rFonts w:hint="eastAsia" w:ascii="Times New Roman" w:hAnsi="Times New Roman" w:eastAsia="方正仿宋_GBK" w:cs="方正仿宋_GBK"/>
          <w:color w:val="333333"/>
          <w:spacing w:val="0"/>
          <w:sz w:val="32"/>
          <w:szCs w:val="32"/>
        </w:rPr>
      </w:pPr>
      <w:r>
        <w:rPr>
          <w:rFonts w:hint="eastAsia" w:ascii="Times New Roman" w:hAnsi="Times New Roman" w:eastAsia="方正仿宋_GBK" w:cs="方正仿宋_GBK"/>
          <w:color w:val="333333"/>
          <w:spacing w:val="0"/>
          <w:sz w:val="32"/>
          <w:szCs w:val="32"/>
        </w:rPr>
        <w:t xml:space="preserve">                      重庆市规划和自然资源局</w:t>
      </w:r>
    </w:p>
    <w:p>
      <w:pPr>
        <w:keepNext w:val="0"/>
        <w:keepLines w:val="0"/>
        <w:pageBreakBefore w:val="0"/>
        <w:widowControl/>
        <w:kinsoku/>
        <w:wordWrap/>
        <w:overflowPunct/>
        <w:topLinePunct w:val="0"/>
        <w:autoSpaceDE/>
        <w:autoSpaceDN/>
        <w:bidi w:val="0"/>
        <w:snapToGrid w:val="0"/>
        <w:spacing w:line="600" w:lineRule="exact"/>
        <w:jc w:val="center"/>
        <w:textAlignment w:val="auto"/>
        <w:rPr>
          <w:rFonts w:hint="eastAsia" w:ascii="Times New Roman" w:hAnsi="Times New Roman" w:eastAsia="方正仿宋_GBK" w:cs="方正仿宋_GBK"/>
          <w:spacing w:val="0"/>
          <w:kern w:val="0"/>
          <w:sz w:val="32"/>
          <w:szCs w:val="32"/>
        </w:rPr>
      </w:pPr>
      <w:r>
        <w:rPr>
          <w:rFonts w:hint="eastAsia" w:ascii="Times New Roman" w:hAnsi="Times New Roman" w:eastAsia="方正仿宋_GBK" w:cs="方正仿宋_GBK"/>
          <w:color w:val="333333"/>
          <w:spacing w:val="0"/>
          <w:sz w:val="32"/>
          <w:szCs w:val="32"/>
        </w:rPr>
        <w:t xml:space="preserve">                      20</w:t>
      </w:r>
      <w:r>
        <w:rPr>
          <w:rFonts w:hint="eastAsia" w:ascii="Times New Roman" w:hAnsi="Times New Roman" w:eastAsia="方正仿宋_GBK" w:cs="方正仿宋_GBK"/>
          <w:color w:val="333333"/>
          <w:spacing w:val="0"/>
          <w:sz w:val="32"/>
          <w:szCs w:val="32"/>
          <w:lang w:val="en-US" w:eastAsia="zh-CN"/>
        </w:rPr>
        <w:t>24</w:t>
      </w:r>
      <w:r>
        <w:rPr>
          <w:rFonts w:hint="eastAsia" w:ascii="Times New Roman" w:hAnsi="Times New Roman" w:eastAsia="方正仿宋_GBK" w:cs="方正仿宋_GBK"/>
          <w:color w:val="333333"/>
          <w:spacing w:val="0"/>
          <w:sz w:val="32"/>
          <w:szCs w:val="32"/>
        </w:rPr>
        <w:t>年</w:t>
      </w:r>
      <w:r>
        <w:rPr>
          <w:rFonts w:hint="eastAsia" w:ascii="Times New Roman" w:hAnsi="Times New Roman" w:eastAsia="方正仿宋_GBK" w:cs="方正仿宋_GBK"/>
          <w:color w:val="333333"/>
          <w:spacing w:val="0"/>
          <w:sz w:val="32"/>
          <w:szCs w:val="32"/>
          <w:lang w:val="en-US" w:eastAsia="zh-CN"/>
        </w:rPr>
        <w:t>3</w:t>
      </w:r>
      <w:r>
        <w:rPr>
          <w:rFonts w:hint="eastAsia" w:ascii="Times New Roman" w:hAnsi="Times New Roman" w:eastAsia="方正仿宋_GBK" w:cs="方正仿宋_GBK"/>
          <w:color w:val="333333"/>
          <w:spacing w:val="0"/>
          <w:sz w:val="32"/>
          <w:szCs w:val="32"/>
        </w:rPr>
        <w:t>月</w:t>
      </w:r>
      <w:r>
        <w:rPr>
          <w:rFonts w:hint="eastAsia" w:ascii="Times New Roman" w:hAnsi="Times New Roman" w:eastAsia="方正仿宋_GBK" w:cs="方正仿宋_GBK"/>
          <w:color w:val="333333"/>
          <w:spacing w:val="0"/>
          <w:sz w:val="32"/>
          <w:szCs w:val="32"/>
          <w:lang w:val="en-US" w:eastAsia="zh-CN"/>
        </w:rPr>
        <w:t>20</w:t>
      </w:r>
      <w:r>
        <w:rPr>
          <w:rFonts w:hint="eastAsia" w:ascii="Times New Roman" w:hAnsi="Times New Roman" w:eastAsia="方正仿宋_GBK" w:cs="方正仿宋_GBK"/>
          <w:color w:val="333333"/>
          <w:spacing w:val="0"/>
          <w:sz w:val="32"/>
          <w:szCs w:val="32"/>
        </w:rPr>
        <w:t>日</w:t>
      </w:r>
    </w:p>
    <w:p>
      <w:pPr>
        <w:keepNext w:val="0"/>
        <w:keepLines w:val="0"/>
        <w:pageBreakBefore w:val="0"/>
        <w:widowControl/>
        <w:kinsoku/>
        <w:wordWrap/>
        <w:overflowPunct/>
        <w:topLinePunct w:val="0"/>
        <w:autoSpaceDE/>
        <w:autoSpaceDN/>
        <w:bidi w:val="0"/>
        <w:snapToGrid w:val="0"/>
        <w:spacing w:line="600" w:lineRule="exact"/>
        <w:jc w:val="center"/>
        <w:textAlignment w:val="auto"/>
        <w:rPr>
          <w:rFonts w:hint="eastAsia" w:ascii="Times New Roman" w:hAnsi="Times New Roman" w:eastAsia="方正仿宋_GBK" w:cs="方正仿宋_GBK"/>
          <w:spacing w:val="0"/>
          <w:kern w:val="0"/>
          <w:sz w:val="32"/>
          <w:szCs w:val="32"/>
        </w:rPr>
      </w:pPr>
    </w:p>
    <w:p>
      <w:pPr>
        <w:keepNext w:val="0"/>
        <w:keepLines w:val="0"/>
        <w:pageBreakBefore w:val="0"/>
        <w:kinsoku/>
        <w:wordWrap/>
        <w:overflowPunct/>
        <w:topLinePunct w:val="0"/>
        <w:autoSpaceDE/>
        <w:autoSpaceDN/>
        <w:bidi w:val="0"/>
        <w:snapToGrid w:val="0"/>
        <w:spacing w:line="600" w:lineRule="exact"/>
        <w:textAlignment w:val="auto"/>
        <w:rPr>
          <w:rFonts w:hint="eastAsia" w:ascii="Times New Roman" w:hAnsi="Times New Roman" w:eastAsia="方正仿宋_GBK" w:cs="方正仿宋_GBK"/>
          <w:b/>
          <w:spacing w:val="0"/>
          <w:sz w:val="32"/>
          <w:szCs w:val="32"/>
        </w:rPr>
      </w:pPr>
    </w:p>
    <w:p>
      <w:pPr>
        <w:keepNext w:val="0"/>
        <w:keepLines w:val="0"/>
        <w:pageBreakBefore w:val="0"/>
        <w:kinsoku/>
        <w:wordWrap/>
        <w:overflowPunct/>
        <w:topLinePunct w:val="0"/>
        <w:autoSpaceDE/>
        <w:autoSpaceDN/>
        <w:bidi w:val="0"/>
        <w:snapToGrid w:val="0"/>
        <w:spacing w:line="600" w:lineRule="exact"/>
        <w:textAlignment w:val="auto"/>
        <w:rPr>
          <w:rFonts w:hint="eastAsia" w:ascii="Times New Roman" w:hAnsi="Times New Roman" w:eastAsia="方正仿宋_GBK" w:cs="方正仿宋_GBK"/>
          <w:b/>
          <w:spacing w:val="0"/>
          <w:sz w:val="32"/>
          <w:szCs w:val="32"/>
        </w:rPr>
      </w:pPr>
    </w:p>
    <w:p>
      <w:pPr>
        <w:keepNext w:val="0"/>
        <w:keepLines w:val="0"/>
        <w:pageBreakBefore w:val="0"/>
        <w:kinsoku/>
        <w:wordWrap/>
        <w:overflowPunct/>
        <w:topLinePunct w:val="0"/>
        <w:autoSpaceDE/>
        <w:autoSpaceDN/>
        <w:bidi w:val="0"/>
        <w:snapToGrid w:val="0"/>
        <w:spacing w:line="600" w:lineRule="exact"/>
        <w:textAlignment w:val="auto"/>
        <w:rPr>
          <w:rFonts w:hint="eastAsia" w:ascii="Times New Roman" w:hAnsi="Times New Roman" w:eastAsia="方正仿宋_GBK" w:cs="方正仿宋_GBK"/>
          <w:b/>
          <w:spacing w:val="0"/>
          <w:sz w:val="32"/>
          <w:szCs w:val="32"/>
        </w:rPr>
      </w:pPr>
    </w:p>
    <w:p>
      <w:pPr>
        <w:keepNext w:val="0"/>
        <w:keepLines w:val="0"/>
        <w:pageBreakBefore w:val="0"/>
        <w:kinsoku/>
        <w:wordWrap/>
        <w:overflowPunct/>
        <w:topLinePunct w:val="0"/>
        <w:autoSpaceDE/>
        <w:autoSpaceDN/>
        <w:bidi w:val="0"/>
        <w:snapToGrid w:val="0"/>
        <w:spacing w:line="600" w:lineRule="exact"/>
        <w:textAlignment w:val="auto"/>
        <w:rPr>
          <w:rFonts w:hint="eastAsia" w:ascii="Times New Roman" w:hAnsi="Times New Roman" w:eastAsia="方正仿宋_GBK" w:cs="方正仿宋_GBK"/>
          <w:bCs/>
          <w:spacing w:val="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bCs/>
          <w:spacing w:val="0"/>
          <w:sz w:val="44"/>
          <w:szCs w:val="44"/>
        </w:rPr>
        <w:t>重庆市国有土地使用权收回收购办法</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cs="方正仿宋_GBK"/>
          <w:spacing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黑体_GBK" w:hAnsi="方正黑体_GBK" w:eastAsia="方正黑体_GBK" w:cs="方正黑体_GBK"/>
          <w:b w:val="0"/>
          <w:bCs/>
          <w:spacing w:val="0"/>
          <w:sz w:val="32"/>
          <w:szCs w:val="32"/>
        </w:rPr>
      </w:pPr>
      <w:r>
        <w:rPr>
          <w:rFonts w:hint="eastAsia" w:ascii="方正黑体_GBK" w:hAnsi="方正黑体_GBK" w:eastAsia="方正黑体_GBK" w:cs="方正黑体_GBK"/>
          <w:b w:val="0"/>
          <w:bCs/>
          <w:spacing w:val="0"/>
          <w:sz w:val="32"/>
          <w:szCs w:val="32"/>
        </w:rPr>
        <w:t>第一章</w:t>
      </w:r>
      <w:r>
        <w:rPr>
          <w:rFonts w:hint="eastAsia" w:ascii="方正黑体_GBK" w:hAnsi="方正黑体_GBK" w:eastAsia="方正黑体_GBK" w:cs="方正黑体_GBK"/>
          <w:b w:val="0"/>
          <w:bCs/>
          <w:spacing w:val="0"/>
          <w:sz w:val="32"/>
          <w:szCs w:val="32"/>
          <w:lang w:val="en-US" w:eastAsia="zh-CN"/>
        </w:rPr>
        <w:t xml:space="preserve">  </w:t>
      </w:r>
      <w:r>
        <w:rPr>
          <w:rFonts w:hint="eastAsia" w:ascii="方正黑体_GBK" w:hAnsi="方正黑体_GBK" w:eastAsia="方正黑体_GBK" w:cs="方正黑体_GBK"/>
          <w:b w:val="0"/>
          <w:bCs/>
          <w:spacing w:val="0"/>
          <w:sz w:val="32"/>
          <w:szCs w:val="32"/>
        </w:rPr>
        <w:t>总则</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b/>
          <w:spacing w:val="0"/>
          <w:sz w:val="32"/>
          <w:szCs w:val="32"/>
        </w:rPr>
      </w:pPr>
      <w:r>
        <w:rPr>
          <w:rFonts w:hint="eastAsia" w:ascii="Times New Roman" w:hAnsi="Times New Roman" w:eastAsia="方正仿宋_GBK" w:cs="方正仿宋_GBK"/>
          <w:b/>
          <w:spacing w:val="0"/>
          <w:sz w:val="32"/>
          <w:szCs w:val="32"/>
        </w:rPr>
        <w:t>第一条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为规范国有土地使用权收回收购行为，维护公共利益，保障土地权利人合法权益，促进土地资源高效配置和合理利用，根据《中华人民共和国民法典》、《中华人民共和国土地管理法》等有关规定，结合我市实际，制定本办法。</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b/>
          <w:spacing w:val="0"/>
          <w:sz w:val="32"/>
          <w:szCs w:val="32"/>
        </w:rPr>
        <w:t>第二条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国有土地使用权收回适用于《中华人民共和国土地管理法》第五十八条第（一）项规定的收回国有土地使用权且无地上建筑物的情形。拟收回的国有土地使用权已分摊至其他项目业主共有的情形，不适用本办法。</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国有土地使用权收购适用于土地储备整治机构收购国有土地使用权的情形。</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b/>
          <w:spacing w:val="0"/>
          <w:sz w:val="32"/>
          <w:szCs w:val="32"/>
        </w:rPr>
        <w:t xml:space="preserve">第三条 </w:t>
      </w:r>
      <w:r>
        <w:rPr>
          <w:rFonts w:hint="eastAsia" w:ascii="Times New Roman" w:hAnsi="Times New Roman" w:eastAsia="方正仿宋_GBK" w:cs="方正仿宋_GBK"/>
          <w:spacing w:val="0"/>
          <w:sz w:val="32"/>
          <w:szCs w:val="32"/>
        </w:rPr>
        <w:t>市规划自然资源行政主管部门负责指导、监督全市国有土地使用权收回收购工作；审查市级土地储备整治机构编制的收购方案。</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区县（自治县）规划自然资源行政主管部门负责制定</w:t>
      </w:r>
      <w:r>
        <w:rPr>
          <w:rFonts w:hint="eastAsia" w:ascii="Times New Roman" w:hAnsi="Times New Roman" w:eastAsia="方正仿宋_GBK" w:cs="方正仿宋_GBK"/>
          <w:spacing w:val="0"/>
          <w:sz w:val="32"/>
          <w:szCs w:val="32"/>
          <w:shd w:val="clear" w:color="auto" w:fill="auto"/>
          <w:lang w:eastAsia="zh-CN"/>
        </w:rPr>
        <w:t>辖区内的</w:t>
      </w:r>
      <w:r>
        <w:rPr>
          <w:rFonts w:hint="eastAsia" w:ascii="Times New Roman" w:hAnsi="Times New Roman" w:eastAsia="方正仿宋_GBK" w:cs="方正仿宋_GBK"/>
          <w:spacing w:val="0"/>
          <w:sz w:val="32"/>
          <w:szCs w:val="32"/>
        </w:rPr>
        <w:t>收回方案，统筹辖区内国有土地使用权收回收购工作。</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土地储备整治机构受同级规划自然资源行政主管部门的委托，承担国有土地使用权收回收购的具体事务工作。</w:t>
      </w: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eastAsia" w:ascii="Times New Roman" w:hAnsi="Times New Roman" w:eastAsia="方正仿宋_GBK" w:cs="方正仿宋_GBK"/>
          <w:spacing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594" w:lineRule="exact"/>
        <w:jc w:val="center"/>
        <w:textAlignment w:val="auto"/>
        <w:rPr>
          <w:rFonts w:hint="eastAsia" w:ascii="方正黑体_GBK" w:hAnsi="方正黑体_GBK" w:eastAsia="方正黑体_GBK" w:cs="方正黑体_GBK"/>
          <w:b w:val="0"/>
          <w:bCs/>
          <w:spacing w:val="0"/>
          <w:sz w:val="32"/>
          <w:szCs w:val="32"/>
        </w:rPr>
      </w:pPr>
      <w:r>
        <w:rPr>
          <w:rFonts w:hint="eastAsia" w:ascii="方正黑体_GBK" w:hAnsi="方正黑体_GBK" w:eastAsia="方正黑体_GBK" w:cs="方正黑体_GBK"/>
          <w:b w:val="0"/>
          <w:bCs/>
          <w:spacing w:val="0"/>
          <w:sz w:val="32"/>
          <w:szCs w:val="32"/>
          <w:lang w:val="en-US" w:eastAsia="zh-CN"/>
        </w:rPr>
        <w:t xml:space="preserve"> </w:t>
      </w:r>
      <w:r>
        <w:rPr>
          <w:rFonts w:hint="eastAsia" w:ascii="方正黑体_GBK" w:hAnsi="方正黑体_GBK" w:eastAsia="方正黑体_GBK" w:cs="方正黑体_GBK"/>
          <w:b w:val="0"/>
          <w:bCs/>
          <w:spacing w:val="0"/>
          <w:sz w:val="32"/>
          <w:szCs w:val="32"/>
        </w:rPr>
        <w:t>程序</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楷体_GBK" w:hAnsi="方正楷体_GBK" w:eastAsia="方正楷体_GBK" w:cs="方正楷体_GBK"/>
          <w:b w:val="0"/>
          <w:bCs w:val="0"/>
          <w:spacing w:val="0"/>
          <w:sz w:val="32"/>
          <w:szCs w:val="32"/>
        </w:rPr>
      </w:pPr>
      <w:r>
        <w:rPr>
          <w:rFonts w:hint="eastAsia" w:ascii="方正楷体_GBK" w:hAnsi="方正楷体_GBK" w:eastAsia="方正楷体_GBK" w:cs="方正楷体_GBK"/>
          <w:b w:val="0"/>
          <w:bCs w:val="0"/>
          <w:spacing w:val="0"/>
          <w:sz w:val="32"/>
          <w:szCs w:val="32"/>
        </w:rPr>
        <w:t>第一节</w:t>
      </w:r>
      <w:r>
        <w:rPr>
          <w:rFonts w:hint="eastAsia" w:ascii="方正楷体_GBK" w:hAnsi="方正楷体_GBK" w:eastAsia="方正楷体_GBK" w:cs="方正楷体_GBK"/>
          <w:b w:val="0"/>
          <w:bCs w:val="0"/>
          <w:spacing w:val="0"/>
          <w:sz w:val="32"/>
          <w:szCs w:val="32"/>
          <w:lang w:val="en-US" w:eastAsia="zh-CN"/>
        </w:rPr>
        <w:t xml:space="preserve">  </w:t>
      </w:r>
      <w:r>
        <w:rPr>
          <w:rFonts w:hint="eastAsia" w:ascii="方正楷体_GBK" w:hAnsi="方正楷体_GBK" w:eastAsia="方正楷体_GBK" w:cs="方正楷体_GBK"/>
          <w:b w:val="0"/>
          <w:bCs w:val="0"/>
          <w:spacing w:val="0"/>
          <w:sz w:val="32"/>
          <w:szCs w:val="32"/>
        </w:rPr>
        <w:t>收回程序</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b/>
          <w:spacing w:val="0"/>
          <w:sz w:val="32"/>
          <w:szCs w:val="32"/>
        </w:rPr>
        <w:t>第四条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拟收回国有土地使用权的，按下列程序办理：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（一）告知。区县（自治县）规划自然资源行政主管部门应当将拟收回国有土地使用权的原因、面积、范围等情况书面告知土地使用权人，充分听取土地使用权人的意见。</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（二</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调查。土地储备整治机构负责对拟收回土地进行调查，重点对拟收回国有土地使用权的权属、面积、证载用途、规划用途、土地他项权利、使用期限、污染状况、实际使用现状等情况进行调查，收集土地出让（转让）合同、土地使用权人入驻时的投资建设承诺、享有的地价优惠、投资奖励等</w:t>
      </w:r>
      <w:r>
        <w:rPr>
          <w:rFonts w:hint="eastAsia" w:ascii="Times New Roman" w:hAnsi="Times New Roman" w:eastAsia="方正仿宋_GBK" w:cs="方正仿宋_GBK"/>
          <w:spacing w:val="0"/>
          <w:sz w:val="32"/>
          <w:szCs w:val="32"/>
          <w:lang w:eastAsia="zh-CN"/>
        </w:rPr>
        <w:t>情况</w:t>
      </w:r>
      <w:r>
        <w:rPr>
          <w:rFonts w:hint="eastAsia" w:ascii="Times New Roman" w:hAnsi="Times New Roman" w:eastAsia="方正仿宋_GBK" w:cs="方正仿宋_GBK"/>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（三）</w:t>
      </w:r>
      <w:r>
        <w:rPr>
          <w:rFonts w:hint="eastAsia" w:ascii="Times New Roman" w:hAnsi="Times New Roman" w:eastAsia="方正仿宋_GBK" w:cs="方正仿宋_GBK"/>
          <w:spacing w:val="0"/>
          <w:sz w:val="32"/>
          <w:szCs w:val="32"/>
          <w:lang w:eastAsia="zh-CN"/>
        </w:rPr>
        <w:t>审计（评估）</w:t>
      </w:r>
      <w:r>
        <w:rPr>
          <w:rFonts w:hint="eastAsia" w:ascii="Times New Roman" w:hAnsi="Times New Roman" w:eastAsia="方正仿宋_GBK" w:cs="方正仿宋_GBK"/>
          <w:spacing w:val="0"/>
          <w:sz w:val="32"/>
          <w:szCs w:val="32"/>
        </w:rPr>
        <w:t>。土地储备整治机构负责委托土地审计（评估）机构</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对拟收回国有建设用地使用权收回补偿价格予以审计（评估）。</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四）收回方案。区县（自治县）规划自然资源行政主管部门应当会同同级财政部门拟定收回方案，明确收回标的、收回价格、资金来源、土壤污染治理责任、抵押查封和租赁关系解除等事宜，并报请同级人民政府（管委会）</w:t>
      </w:r>
      <w:r>
        <w:rPr>
          <w:rFonts w:hint="eastAsia" w:ascii="Times New Roman" w:hAnsi="Times New Roman" w:eastAsia="方正仿宋_GBK" w:cs="方正仿宋_GBK"/>
          <w:spacing w:val="0"/>
          <w:sz w:val="32"/>
          <w:szCs w:val="32"/>
          <w:shd w:val="clear" w:color="auto" w:fill="auto"/>
          <w:lang w:eastAsia="zh-CN"/>
        </w:rPr>
        <w:t>批准后实施</w:t>
      </w:r>
      <w:r>
        <w:rPr>
          <w:rFonts w:hint="eastAsia" w:ascii="Times New Roman" w:hAnsi="Times New Roman" w:eastAsia="方正仿宋_GBK" w:cs="方正仿宋_GBK"/>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五）公告与听证。区县（自治县）规划自然资源行政主管部门应当将收回方案在同级人民政府（管委会）公众信息网和拟收回地块处同时进行告示，公告期三十日。土地使用权人申请听证的，区县（自治县）规划自然资源行政主管部门应当按照有关规定组织听证。</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六）收回决定。区县（自治县）规划自然资源行政主管部门根据听证情况完善收回国有土地使用权方案，按程序报有批准权的人民政府（管委会）下达收回国有土地使用权批复。区县（自治县）规划自然资源行政主管部门依据收回国有土地使用权批复下达《收回国有土地使用权决定书》，并依法送达土地使用权人，同时抄送收回方案确定的补偿款支付主体。</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七）支付补偿款。补偿款支付主体应当在《收回国有土地使用权决定书》送达后的十五日内，向原土地使用权人支付补偿款；不能直接支付的，补偿款支付主体应当将补偿款交由有关部门设立的专户予以代存。代存之日起十个工作日内，补偿款支付主体应当将土地补偿款代存的情况书面告知原土地使用权人及相关权利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（八）注销登记。在支付补偿价款或者将补偿价款代存情况告知权利人后，《收回国有土地使用权决定书》规定的注销时限届满，</w:t>
      </w:r>
      <w:r>
        <w:rPr>
          <w:rFonts w:hint="eastAsia" w:ascii="Times New Roman" w:hAnsi="Times New Roman" w:eastAsia="方正仿宋_GBK" w:cs="方正仿宋_GBK"/>
          <w:spacing w:val="0"/>
          <w:sz w:val="32"/>
          <w:szCs w:val="32"/>
          <w:shd w:val="clear" w:color="auto" w:fill="auto"/>
          <w:lang w:eastAsia="zh-CN"/>
        </w:rPr>
        <w:t>由</w:t>
      </w:r>
      <w:r>
        <w:rPr>
          <w:rFonts w:hint="eastAsia" w:ascii="Times New Roman" w:hAnsi="Times New Roman" w:eastAsia="方正仿宋_GBK" w:cs="方正仿宋_GBK"/>
          <w:spacing w:val="0"/>
          <w:sz w:val="32"/>
          <w:szCs w:val="32"/>
          <w:shd w:val="clear" w:color="auto" w:fill="auto"/>
        </w:rPr>
        <w:t>有批准权的人民政府（管委会）</w:t>
      </w:r>
      <w:r>
        <w:rPr>
          <w:rFonts w:hint="eastAsia" w:ascii="Times New Roman" w:hAnsi="Times New Roman" w:eastAsia="方正仿宋_GBK" w:cs="方正仿宋_GBK"/>
          <w:spacing w:val="0"/>
          <w:sz w:val="32"/>
          <w:szCs w:val="32"/>
          <w:shd w:val="clear" w:color="auto" w:fill="auto"/>
          <w:lang w:eastAsia="zh-CN"/>
        </w:rPr>
        <w:t>确定的</w:t>
      </w:r>
      <w:r>
        <w:rPr>
          <w:rFonts w:hint="eastAsia" w:ascii="Times New Roman" w:hAnsi="Times New Roman" w:eastAsia="方正仿宋_GBK" w:cs="方正仿宋_GBK"/>
          <w:spacing w:val="0"/>
          <w:sz w:val="32"/>
          <w:szCs w:val="32"/>
          <w:shd w:val="clear" w:color="auto" w:fill="auto"/>
        </w:rPr>
        <w:t>土地收回后的管护主体</w:t>
      </w:r>
      <w:r>
        <w:rPr>
          <w:rFonts w:hint="eastAsia" w:ascii="Times New Roman" w:hAnsi="Times New Roman" w:eastAsia="方正仿宋_GBK" w:cs="方正仿宋_GBK"/>
          <w:spacing w:val="0"/>
          <w:sz w:val="32"/>
          <w:szCs w:val="32"/>
          <w:shd w:val="clear" w:color="auto" w:fill="auto"/>
          <w:lang w:eastAsia="zh-CN"/>
        </w:rPr>
        <w:t>凭</w:t>
      </w:r>
      <w:r>
        <w:rPr>
          <w:rFonts w:hint="eastAsia" w:ascii="Times New Roman" w:hAnsi="Times New Roman" w:eastAsia="方正仿宋_GBK" w:cs="方正仿宋_GBK"/>
          <w:spacing w:val="0"/>
          <w:sz w:val="32"/>
          <w:szCs w:val="32"/>
          <w:shd w:val="clear" w:color="auto" w:fill="auto"/>
        </w:rPr>
        <w:t>《收回国有土地使用权决定书》</w:t>
      </w:r>
      <w:r>
        <w:rPr>
          <w:rFonts w:hint="eastAsia" w:ascii="Times New Roman" w:hAnsi="Times New Roman" w:eastAsia="方正仿宋_GBK" w:cs="方正仿宋_GBK"/>
          <w:spacing w:val="0"/>
          <w:sz w:val="32"/>
          <w:szCs w:val="32"/>
          <w:shd w:val="clear" w:color="auto" w:fill="auto"/>
          <w:lang w:eastAsia="zh-CN"/>
        </w:rPr>
        <w:t>等材料请求</w:t>
      </w:r>
      <w:r>
        <w:rPr>
          <w:rFonts w:hint="eastAsia" w:ascii="Times New Roman" w:hAnsi="Times New Roman" w:eastAsia="方正仿宋_GBK" w:cs="方正仿宋_GBK"/>
          <w:spacing w:val="0"/>
          <w:sz w:val="32"/>
          <w:szCs w:val="32"/>
          <w:shd w:val="clear" w:color="auto" w:fill="auto"/>
        </w:rPr>
        <w:t>属地不动产登记机构直接注销土地使用权登记。</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b/>
          <w:spacing w:val="0"/>
          <w:sz w:val="32"/>
          <w:szCs w:val="32"/>
          <w:shd w:val="clear" w:color="auto" w:fill="auto"/>
        </w:rPr>
      </w:pPr>
      <w:r>
        <w:rPr>
          <w:rFonts w:hint="eastAsia" w:ascii="Times New Roman" w:hAnsi="Times New Roman" w:eastAsia="方正仿宋_GBK" w:cs="方正仿宋_GBK"/>
          <w:b/>
          <w:spacing w:val="0"/>
          <w:sz w:val="32"/>
          <w:szCs w:val="32"/>
          <w:shd w:val="clear" w:color="auto" w:fill="auto"/>
        </w:rPr>
        <w:t>第五条</w:t>
      </w:r>
      <w:r>
        <w:rPr>
          <w:rFonts w:hint="eastAsia" w:ascii="Times New Roman" w:hAnsi="Times New Roman" w:eastAsia="方正仿宋_GBK" w:cs="方正仿宋_GBK"/>
          <w:b/>
          <w:spacing w:val="0"/>
          <w:sz w:val="32"/>
          <w:szCs w:val="32"/>
          <w:shd w:val="clear" w:color="auto" w:fill="auto"/>
          <w:lang w:val="en-US" w:eastAsia="zh-CN"/>
        </w:rPr>
        <w:t xml:space="preserve"> </w:t>
      </w:r>
      <w:r>
        <w:rPr>
          <w:rFonts w:hint="eastAsia" w:ascii="Times New Roman" w:hAnsi="Times New Roman" w:eastAsia="方正仿宋_GBK" w:cs="方正仿宋_GBK"/>
          <w:spacing w:val="0"/>
          <w:sz w:val="32"/>
          <w:szCs w:val="32"/>
          <w:shd w:val="clear" w:color="auto" w:fill="auto"/>
        </w:rPr>
        <w:t>收回方案应当包括下列内容：</w:t>
      </w:r>
    </w:p>
    <w:p>
      <w:pPr>
        <w:keepNext w:val="0"/>
        <w:keepLines w:val="0"/>
        <w:pageBreakBefore w:val="0"/>
        <w:widowControl w:val="0"/>
        <w:numPr>
          <w:ilvl w:val="0"/>
          <w:numId w:val="2"/>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收回国有土地使用权的原因；</w:t>
      </w:r>
    </w:p>
    <w:p>
      <w:pPr>
        <w:keepNext w:val="0"/>
        <w:keepLines w:val="0"/>
        <w:pageBreakBefore w:val="0"/>
        <w:widowControl w:val="0"/>
        <w:numPr>
          <w:ilvl w:val="0"/>
          <w:numId w:val="2"/>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土地使用权人名称或姓名、组织机构代码或身份证号码、住所地；</w:t>
      </w:r>
    </w:p>
    <w:p>
      <w:pPr>
        <w:keepNext w:val="0"/>
        <w:keepLines w:val="0"/>
        <w:pageBreakBefore w:val="0"/>
        <w:widowControl w:val="0"/>
        <w:numPr>
          <w:ilvl w:val="0"/>
          <w:numId w:val="2"/>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拟收回土地的位置、面积、范围、证载用途、剩余使用年限、利用现状、土壤污染等情况；</w:t>
      </w:r>
    </w:p>
    <w:p>
      <w:pPr>
        <w:keepNext w:val="0"/>
        <w:keepLines w:val="0"/>
        <w:pageBreakBefore w:val="0"/>
        <w:widowControl w:val="0"/>
        <w:numPr>
          <w:ilvl w:val="0"/>
          <w:numId w:val="2"/>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抵押、查封情况及处置建议；</w:t>
      </w:r>
    </w:p>
    <w:p>
      <w:pPr>
        <w:keepNext w:val="0"/>
        <w:keepLines w:val="0"/>
        <w:pageBreakBefore w:val="0"/>
        <w:widowControl w:val="0"/>
        <w:numPr>
          <w:ilvl w:val="0"/>
          <w:numId w:val="2"/>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租赁关系情况及处置建议；</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（六）土壤污染情况及处置建议；</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（七）拟收回价格确定情况；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（八）资金来源、补偿款支付主体及补偿款拨付安排；</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（九）土地收回后的管护主体；</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（十）其他需说明的事项；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（十一）附图。</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b/>
          <w:spacing w:val="0"/>
          <w:sz w:val="32"/>
          <w:szCs w:val="32"/>
          <w:shd w:val="clear" w:color="auto" w:fill="auto"/>
        </w:rPr>
        <w:t>第六条</w:t>
      </w:r>
      <w:r>
        <w:rPr>
          <w:rFonts w:hint="eastAsia" w:ascii="Times New Roman" w:hAnsi="Times New Roman" w:eastAsia="方正仿宋_GBK" w:cs="方正仿宋_GBK"/>
          <w:b/>
          <w:spacing w:val="0"/>
          <w:sz w:val="32"/>
          <w:szCs w:val="32"/>
          <w:shd w:val="clear" w:color="auto" w:fill="auto"/>
          <w:lang w:val="en-US" w:eastAsia="zh-CN"/>
        </w:rPr>
        <w:t xml:space="preserve"> </w:t>
      </w:r>
      <w:r>
        <w:rPr>
          <w:rFonts w:hint="eastAsia" w:ascii="Times New Roman" w:hAnsi="Times New Roman" w:eastAsia="方正仿宋_GBK" w:cs="方正仿宋_GBK"/>
          <w:spacing w:val="0"/>
          <w:sz w:val="32"/>
          <w:szCs w:val="32"/>
          <w:shd w:val="clear" w:color="auto" w:fill="auto"/>
        </w:rPr>
        <w:t>《收回国有土地使用权决定书》应当包括下列内容：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（一）土地使用权人名称或姓名、组织机构代码或身份证号码、住所地；</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（二）批准机关；</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（三）收回国有土地使用权的事实和依据；</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（四）地块位置、面积、范围、证载用途、剩余使用年限、利用现状、土壤污染等情况；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（五）补偿价格、补偿款支付主体及补偿款拨付安排；</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（六）土地使用权人应当履行的义务；</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（七）注销土地使用权登记的时限；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（八）申请行政复议和提起行政诉讼的途径</w:t>
      </w:r>
      <w:r>
        <w:rPr>
          <w:rFonts w:hint="eastAsia" w:ascii="Times New Roman" w:hAnsi="Times New Roman" w:eastAsia="方正仿宋_GBK" w:cs="方正仿宋_GBK"/>
          <w:spacing w:val="0"/>
          <w:sz w:val="32"/>
          <w:szCs w:val="32"/>
          <w:shd w:val="clear" w:color="auto" w:fill="auto"/>
          <w:lang w:eastAsia="zh-CN"/>
        </w:rPr>
        <w:t>，</w:t>
      </w:r>
      <w:r>
        <w:rPr>
          <w:rFonts w:hint="eastAsia" w:ascii="Times New Roman" w:hAnsi="Times New Roman" w:eastAsia="方正仿宋_GBK" w:cs="方正仿宋_GBK"/>
          <w:spacing w:val="0"/>
          <w:sz w:val="32"/>
          <w:szCs w:val="32"/>
          <w:shd w:val="clear" w:color="auto" w:fill="auto"/>
        </w:rPr>
        <w:t>先申请行政复议，对行政复议决定不服的再向人民法院提起行政诉讼；</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（九）其他需要说明的事项；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（十）作出决定的行政机关名称和时间；</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（十一）附图。</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仿宋_GBK" w:cs="方正仿宋_GBK"/>
          <w:b/>
          <w:bCs/>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楷体_GBK" w:hAnsi="方正楷体_GBK" w:eastAsia="方正楷体_GBK" w:cs="方正楷体_GBK"/>
          <w:b w:val="0"/>
          <w:bCs w:val="0"/>
          <w:spacing w:val="0"/>
          <w:sz w:val="32"/>
          <w:szCs w:val="32"/>
          <w:shd w:val="clear" w:color="auto" w:fill="auto"/>
        </w:rPr>
      </w:pPr>
      <w:r>
        <w:rPr>
          <w:rFonts w:hint="eastAsia" w:ascii="方正楷体_GBK" w:hAnsi="方正楷体_GBK" w:eastAsia="方正楷体_GBK" w:cs="方正楷体_GBK"/>
          <w:b w:val="0"/>
          <w:bCs w:val="0"/>
          <w:spacing w:val="0"/>
          <w:sz w:val="32"/>
          <w:szCs w:val="32"/>
          <w:shd w:val="clear" w:color="auto" w:fill="auto"/>
        </w:rPr>
        <w:t>第二节</w:t>
      </w:r>
      <w:r>
        <w:rPr>
          <w:rFonts w:hint="eastAsia" w:ascii="方正楷体_GBK" w:hAnsi="方正楷体_GBK" w:eastAsia="方正楷体_GBK" w:cs="方正楷体_GBK"/>
          <w:b w:val="0"/>
          <w:bCs w:val="0"/>
          <w:spacing w:val="0"/>
          <w:sz w:val="32"/>
          <w:szCs w:val="32"/>
          <w:shd w:val="clear" w:color="auto" w:fill="auto"/>
          <w:lang w:val="en-US" w:eastAsia="zh-CN"/>
        </w:rPr>
        <w:t xml:space="preserve">  </w:t>
      </w:r>
      <w:r>
        <w:rPr>
          <w:rFonts w:hint="eastAsia" w:ascii="方正楷体_GBK" w:hAnsi="方正楷体_GBK" w:eastAsia="方正楷体_GBK" w:cs="方正楷体_GBK"/>
          <w:b w:val="0"/>
          <w:bCs w:val="0"/>
          <w:spacing w:val="0"/>
          <w:sz w:val="32"/>
          <w:szCs w:val="32"/>
          <w:shd w:val="clear" w:color="auto" w:fill="auto"/>
        </w:rPr>
        <w:t>收购程序</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b/>
          <w:spacing w:val="0"/>
          <w:sz w:val="32"/>
          <w:szCs w:val="32"/>
          <w:shd w:val="clear" w:color="auto" w:fill="auto"/>
        </w:rPr>
        <w:t>第七条</w:t>
      </w:r>
      <w:r>
        <w:rPr>
          <w:rFonts w:hint="eastAsia" w:ascii="Times New Roman" w:hAnsi="Times New Roman" w:eastAsia="方正仿宋_GBK" w:cs="方正仿宋_GBK"/>
          <w:b/>
          <w:spacing w:val="0"/>
          <w:sz w:val="32"/>
          <w:szCs w:val="32"/>
          <w:shd w:val="clear" w:color="auto" w:fill="auto"/>
          <w:lang w:val="en-US" w:eastAsia="zh-CN"/>
        </w:rPr>
        <w:t xml:space="preserve"> </w:t>
      </w:r>
      <w:r>
        <w:rPr>
          <w:rFonts w:hint="eastAsia" w:ascii="Times New Roman" w:hAnsi="Times New Roman" w:eastAsia="方正仿宋_GBK" w:cs="方正仿宋_GBK"/>
          <w:spacing w:val="0"/>
          <w:sz w:val="32"/>
          <w:szCs w:val="32"/>
          <w:shd w:val="clear" w:color="auto" w:fill="auto"/>
        </w:rPr>
        <w:t>拟收购国有土地使用权的，按下列程序办理：</w:t>
      </w:r>
    </w:p>
    <w:p>
      <w:pPr>
        <w:keepNext w:val="0"/>
        <w:keepLines w:val="0"/>
        <w:pageBreakBefore w:val="0"/>
        <w:widowControl w:val="0"/>
        <w:numPr>
          <w:ilvl w:val="0"/>
          <w:numId w:val="3"/>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调查。土地储备整治机构对拟收购的国有土地使用权及地上建构筑物的权属、面积、证载用途、土地他项权利、使用期限、规划用途、污染状况、实际使用现状等情况进行调查，收集土地出让（转让）合同、土地使用权人入驻时的投资建设承诺、享有的地价优惠、投资奖励等</w:t>
      </w:r>
      <w:r>
        <w:rPr>
          <w:rFonts w:hint="eastAsia" w:ascii="Times New Roman" w:hAnsi="Times New Roman" w:eastAsia="方正仿宋_GBK" w:cs="方正仿宋_GBK"/>
          <w:spacing w:val="0"/>
          <w:sz w:val="32"/>
          <w:szCs w:val="32"/>
          <w:shd w:val="clear" w:color="auto" w:fill="auto"/>
          <w:lang w:eastAsia="zh-CN"/>
        </w:rPr>
        <w:t>情况</w:t>
      </w:r>
      <w:r>
        <w:rPr>
          <w:rFonts w:hint="eastAsia" w:ascii="Times New Roman" w:hAnsi="Times New Roman" w:eastAsia="方正仿宋_GBK" w:cs="方正仿宋_GBK"/>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（二）评估。由土地储备整治机构和土地使用权人在协商一致的基础上，委托有资质的评估机构按照本办法的规定对拟收购的国有土地使用权及地上建构筑物进行收购价格评估。</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（三）协商。土地储备整治机构依据调查和土地使用权价格评估结果，与土地使用权人协商，就收购行为达成一致意见。</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（四）拟订方案。经协商达成一致意见后，土地储备整治机构应当编制收购方案，明确收购标的、收购价格、资金来源、土壤污染治理责任、抵押查封和租赁关系解除等事宜。</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五）方案审查。国有土地使用权的收购，实行分级审查。市级土地储备整治机构收购国有土地的，应当将收购方案报请市规划自然资源行政主管部门会同市财政主管部门等有关单位初审后，报请市人民政府批准后实施；区县（自治县）土地储备整治机构收购国有土地的，应当将收购方案报同级规划自然资源行政主管部门会同同级财政主管部门初审后，报请同级人民政府（管委会）批准后实施。</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FF0000"/>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（六）签订合同。土地储备整治机构依据同级人民政府的批准意见，与土地使用权人签订《国有土地使用权收购合同》</w:t>
      </w:r>
      <w:r>
        <w:rPr>
          <w:rFonts w:hint="eastAsia" w:ascii="Times New Roman" w:hAnsi="Times New Roman" w:eastAsia="方正仿宋_GBK" w:cs="方正仿宋_GBK"/>
          <w:color w:val="FF0000"/>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FF0000"/>
          <w:spacing w:val="0"/>
          <w:sz w:val="32"/>
          <w:szCs w:val="32"/>
          <w:shd w:val="clear" w:color="auto" w:fill="auto"/>
          <w:lang w:eastAsia="zh-CN"/>
        </w:rPr>
      </w:pPr>
      <w:r>
        <w:rPr>
          <w:rFonts w:hint="eastAsia" w:ascii="Times New Roman" w:hAnsi="Times New Roman" w:eastAsia="方正仿宋_GBK" w:cs="方正仿宋_GBK"/>
          <w:spacing w:val="0"/>
          <w:sz w:val="32"/>
          <w:szCs w:val="32"/>
          <w:shd w:val="clear" w:color="auto" w:fill="auto"/>
        </w:rPr>
        <w:t>（七）支付价款。土地储备整治机构应当根据《国有土地使用权收购合同》约定，支付收购价款。</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（八）</w:t>
      </w:r>
      <w:r>
        <w:rPr>
          <w:rFonts w:hint="eastAsia" w:ascii="Times New Roman" w:hAnsi="Times New Roman" w:eastAsia="方正仿宋_GBK" w:cs="方正仿宋_GBK"/>
          <w:spacing w:val="0"/>
          <w:sz w:val="32"/>
          <w:szCs w:val="32"/>
          <w:shd w:val="clear" w:color="auto" w:fill="auto"/>
          <w:lang w:eastAsia="zh-CN"/>
        </w:rPr>
        <w:t>土地储备和注销登记</w:t>
      </w:r>
      <w:r>
        <w:rPr>
          <w:rFonts w:hint="eastAsia" w:ascii="Times New Roman" w:hAnsi="Times New Roman" w:eastAsia="方正仿宋_GBK" w:cs="方正仿宋_GBK"/>
          <w:spacing w:val="0"/>
          <w:sz w:val="32"/>
          <w:szCs w:val="32"/>
          <w:shd w:val="clear" w:color="auto" w:fill="auto"/>
        </w:rPr>
        <w:t>。土地储备整治机构</w:t>
      </w:r>
      <w:r>
        <w:rPr>
          <w:rFonts w:hint="eastAsia" w:ascii="Times New Roman" w:hAnsi="Times New Roman" w:eastAsia="方正仿宋_GBK" w:cs="方正仿宋_GBK"/>
          <w:spacing w:val="0"/>
          <w:sz w:val="32"/>
          <w:szCs w:val="32"/>
          <w:shd w:val="clear" w:color="auto" w:fill="auto"/>
          <w:lang w:eastAsia="zh-CN"/>
        </w:rPr>
        <w:t>按照有关规定办理土地储备批复。土地储备整治机构持土地储备批复文件、《国有土地使用权收购合同》等资料</w:t>
      </w:r>
      <w:r>
        <w:rPr>
          <w:rFonts w:hint="eastAsia" w:ascii="Times New Roman" w:hAnsi="Times New Roman" w:eastAsia="方正仿宋_GBK" w:cs="方正仿宋_GBK"/>
          <w:spacing w:val="0"/>
          <w:sz w:val="32"/>
          <w:szCs w:val="32"/>
          <w:shd w:val="clear" w:color="auto" w:fill="auto"/>
        </w:rPr>
        <w:t>向属地不动产登记机构申请办理土地使用权及地上建构筑物所有权注销登记。</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6"/>
          <w:sz w:val="32"/>
          <w:szCs w:val="32"/>
          <w:shd w:val="clear" w:color="auto" w:fill="auto"/>
        </w:rPr>
      </w:pPr>
      <w:r>
        <w:rPr>
          <w:rFonts w:hint="eastAsia" w:ascii="Times New Roman" w:hAnsi="Times New Roman" w:eastAsia="方正仿宋_GBK" w:cs="方正仿宋_GBK"/>
          <w:spacing w:val="0"/>
          <w:sz w:val="32"/>
          <w:szCs w:val="32"/>
          <w:shd w:val="clear" w:color="auto" w:fill="auto"/>
        </w:rPr>
        <w:t>（九）交付土地。土地使用权人按照《国有土地使用权收购</w:t>
      </w:r>
      <w:r>
        <w:rPr>
          <w:rFonts w:hint="eastAsia" w:ascii="Times New Roman" w:hAnsi="Times New Roman" w:eastAsia="方正仿宋_GBK" w:cs="方正仿宋_GBK"/>
          <w:spacing w:val="-6"/>
          <w:sz w:val="32"/>
          <w:szCs w:val="32"/>
          <w:shd w:val="clear" w:color="auto" w:fill="auto"/>
        </w:rPr>
        <w:t>合同》约定，向土地储备整治机构交付被收购土地和地上建构筑物。</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b/>
          <w:spacing w:val="0"/>
          <w:sz w:val="32"/>
          <w:szCs w:val="32"/>
          <w:shd w:val="clear" w:color="auto" w:fill="auto"/>
        </w:rPr>
        <w:t>第八条</w:t>
      </w:r>
      <w:r>
        <w:rPr>
          <w:rFonts w:hint="eastAsia" w:ascii="Times New Roman" w:hAnsi="Times New Roman" w:eastAsia="方正仿宋_GBK" w:cs="方正仿宋_GBK"/>
          <w:b/>
          <w:spacing w:val="0"/>
          <w:sz w:val="32"/>
          <w:szCs w:val="32"/>
          <w:shd w:val="clear" w:color="auto" w:fill="auto"/>
          <w:lang w:val="en-US" w:eastAsia="zh-CN"/>
        </w:rPr>
        <w:t xml:space="preserve"> </w:t>
      </w:r>
      <w:r>
        <w:rPr>
          <w:rFonts w:hint="eastAsia" w:ascii="Times New Roman" w:hAnsi="Times New Roman" w:eastAsia="方正仿宋_GBK" w:cs="方正仿宋_GBK"/>
          <w:spacing w:val="0"/>
          <w:sz w:val="32"/>
          <w:szCs w:val="32"/>
          <w:shd w:val="clear" w:color="auto" w:fill="auto"/>
        </w:rPr>
        <w:t>收购方案应当包括下列内容：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（一）土地使用权人的名称或姓名、组织机构代码或身份证号码、住所地；</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（二）拟收购土地的位置、面积、范围、证载用途、剩余使用年限、建构筑物、土壤污染等情况；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（三）抵押、查封情况及处置建议；</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（四）租赁关系情况及处置建议；</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（五）土壤污染情况及处置建议；</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（六）拟收购价格确定情况；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（七）资金平衡测算、资金来源、资金拨付安排；</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w:t>
      </w:r>
      <w:r>
        <w:rPr>
          <w:rFonts w:hint="eastAsia" w:ascii="Times New Roman" w:hAnsi="Times New Roman" w:eastAsia="方正仿宋_GBK" w:cs="方正仿宋_GBK"/>
          <w:spacing w:val="0"/>
          <w:sz w:val="32"/>
          <w:szCs w:val="32"/>
          <w:shd w:val="clear" w:color="auto" w:fill="auto"/>
          <w:lang w:eastAsia="zh-CN"/>
        </w:rPr>
        <w:t>八</w:t>
      </w:r>
      <w:r>
        <w:rPr>
          <w:rFonts w:hint="eastAsia" w:ascii="Times New Roman" w:hAnsi="Times New Roman" w:eastAsia="方正仿宋_GBK" w:cs="方正仿宋_GBK"/>
          <w:spacing w:val="0"/>
          <w:sz w:val="32"/>
          <w:szCs w:val="32"/>
          <w:shd w:val="clear" w:color="auto" w:fill="auto"/>
        </w:rPr>
        <w:t>）土地及地上建构筑物收购后的管护安排；</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w:t>
      </w:r>
      <w:r>
        <w:rPr>
          <w:rFonts w:hint="eastAsia" w:ascii="Times New Roman" w:hAnsi="Times New Roman" w:eastAsia="方正仿宋_GBK" w:cs="方正仿宋_GBK"/>
          <w:spacing w:val="0"/>
          <w:sz w:val="32"/>
          <w:szCs w:val="32"/>
          <w:shd w:val="clear" w:color="auto" w:fill="auto"/>
          <w:lang w:eastAsia="zh-CN"/>
        </w:rPr>
        <w:t>九</w:t>
      </w:r>
      <w:r>
        <w:rPr>
          <w:rFonts w:hint="eastAsia" w:ascii="Times New Roman" w:hAnsi="Times New Roman" w:eastAsia="方正仿宋_GBK" w:cs="方正仿宋_GBK"/>
          <w:spacing w:val="0"/>
          <w:sz w:val="32"/>
          <w:szCs w:val="32"/>
          <w:shd w:val="clear" w:color="auto" w:fill="auto"/>
        </w:rPr>
        <w:t>）</w:t>
      </w:r>
      <w:r>
        <w:rPr>
          <w:rFonts w:hint="eastAsia" w:ascii="Times New Roman" w:hAnsi="Times New Roman" w:eastAsia="方正仿宋_GBK" w:cs="方正仿宋_GBK"/>
          <w:spacing w:val="0"/>
          <w:sz w:val="32"/>
          <w:szCs w:val="32"/>
          <w:shd w:val="clear" w:color="auto" w:fill="auto"/>
          <w:lang w:eastAsia="zh-CN"/>
        </w:rPr>
        <w:t>收购土地是否纳入储备等</w:t>
      </w:r>
      <w:r>
        <w:rPr>
          <w:rFonts w:hint="eastAsia" w:ascii="Times New Roman" w:hAnsi="Times New Roman" w:eastAsia="方正仿宋_GBK" w:cs="方正仿宋_GBK"/>
          <w:spacing w:val="0"/>
          <w:sz w:val="32"/>
          <w:szCs w:val="32"/>
          <w:shd w:val="clear" w:color="auto" w:fill="auto"/>
        </w:rPr>
        <w:t>其他需说明的事项；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w:t>
      </w:r>
      <w:r>
        <w:rPr>
          <w:rFonts w:hint="eastAsia" w:ascii="Times New Roman" w:hAnsi="Times New Roman" w:eastAsia="方正仿宋_GBK" w:cs="方正仿宋_GBK"/>
          <w:spacing w:val="0"/>
          <w:sz w:val="32"/>
          <w:szCs w:val="32"/>
          <w:shd w:val="clear" w:color="auto" w:fill="auto"/>
          <w:lang w:eastAsia="zh-CN"/>
        </w:rPr>
        <w:t>十</w:t>
      </w:r>
      <w:r>
        <w:rPr>
          <w:rFonts w:hint="eastAsia" w:ascii="Times New Roman" w:hAnsi="Times New Roman" w:eastAsia="方正仿宋_GBK" w:cs="方正仿宋_GBK"/>
          <w:spacing w:val="0"/>
          <w:sz w:val="32"/>
          <w:szCs w:val="32"/>
          <w:shd w:val="clear" w:color="auto" w:fill="auto"/>
        </w:rPr>
        <w:t>）附图。</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b/>
          <w:spacing w:val="0"/>
          <w:sz w:val="32"/>
          <w:szCs w:val="32"/>
          <w:shd w:val="clear" w:color="auto" w:fill="auto"/>
        </w:rPr>
        <w:t>第九条</w:t>
      </w:r>
      <w:r>
        <w:rPr>
          <w:rFonts w:hint="eastAsia" w:ascii="Times New Roman" w:hAnsi="Times New Roman" w:eastAsia="方正仿宋_GBK" w:cs="方正仿宋_GBK"/>
          <w:b/>
          <w:spacing w:val="0"/>
          <w:sz w:val="32"/>
          <w:szCs w:val="32"/>
          <w:shd w:val="clear" w:color="auto" w:fill="auto"/>
          <w:lang w:val="en-US" w:eastAsia="zh-CN"/>
        </w:rPr>
        <w:t xml:space="preserve"> </w:t>
      </w:r>
      <w:r>
        <w:rPr>
          <w:rFonts w:hint="eastAsia" w:ascii="Times New Roman" w:hAnsi="Times New Roman" w:eastAsia="方正仿宋_GBK" w:cs="方正仿宋_GBK"/>
          <w:spacing w:val="0"/>
          <w:sz w:val="32"/>
          <w:szCs w:val="32"/>
          <w:shd w:val="clear" w:color="auto" w:fill="auto"/>
        </w:rPr>
        <w:t>《国有土地使用权收购合同》应当包括下列内容：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（一）收购各方的名称或姓名、组织机构代码或身份证号码、住所地；</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（二）拟收购土地的位置、面积、范围、证载用途、剩余使用年限、建构筑物、土壤污染等情况；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（三）收购价格和支付方式；</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（四）不动产权证原件移交的时限；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（五）交付土地的条件和时限；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lang w:eastAsia="zh-CN"/>
        </w:rPr>
      </w:pPr>
      <w:r>
        <w:rPr>
          <w:rFonts w:hint="eastAsia" w:ascii="Times New Roman" w:hAnsi="Times New Roman" w:eastAsia="方正仿宋_GBK" w:cs="方正仿宋_GBK"/>
          <w:spacing w:val="0"/>
          <w:sz w:val="32"/>
          <w:szCs w:val="32"/>
          <w:shd w:val="clear" w:color="auto" w:fill="auto"/>
          <w:lang w:eastAsia="zh-CN"/>
        </w:rPr>
        <w:t>（六）</w:t>
      </w:r>
      <w:r>
        <w:rPr>
          <w:rFonts w:hint="eastAsia" w:ascii="Times New Roman" w:hAnsi="Times New Roman" w:eastAsia="方正仿宋_GBK" w:cs="方正仿宋_GBK"/>
          <w:spacing w:val="0"/>
          <w:sz w:val="32"/>
          <w:szCs w:val="32"/>
          <w:shd w:val="clear" w:color="auto" w:fill="auto"/>
        </w:rPr>
        <w:t>土地使用权人</w:t>
      </w:r>
      <w:r>
        <w:rPr>
          <w:rFonts w:hint="eastAsia" w:ascii="Times New Roman" w:hAnsi="Times New Roman" w:eastAsia="方正仿宋_GBK" w:cs="方正仿宋_GBK"/>
          <w:spacing w:val="0"/>
          <w:sz w:val="32"/>
          <w:szCs w:val="32"/>
          <w:shd w:val="clear" w:color="auto" w:fill="auto"/>
          <w:lang w:eastAsia="zh-CN"/>
        </w:rPr>
        <w:t>自愿放弃土地使用权和建筑物所有权的承诺；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w:t>
      </w:r>
      <w:r>
        <w:rPr>
          <w:rFonts w:hint="eastAsia" w:ascii="Times New Roman" w:hAnsi="Times New Roman" w:eastAsia="方正仿宋_GBK" w:cs="方正仿宋_GBK"/>
          <w:spacing w:val="0"/>
          <w:sz w:val="32"/>
          <w:szCs w:val="32"/>
          <w:shd w:val="clear" w:color="auto" w:fill="auto"/>
          <w:lang w:eastAsia="zh-CN"/>
        </w:rPr>
        <w:t>七</w:t>
      </w:r>
      <w:r>
        <w:rPr>
          <w:rFonts w:hint="eastAsia" w:ascii="Times New Roman" w:hAnsi="Times New Roman" w:eastAsia="方正仿宋_GBK" w:cs="方正仿宋_GBK"/>
          <w:spacing w:val="0"/>
          <w:sz w:val="32"/>
          <w:szCs w:val="32"/>
          <w:shd w:val="clear" w:color="auto" w:fill="auto"/>
        </w:rPr>
        <w:t>）注销土地及地上建构筑物权利证书的时限和方式；</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w:t>
      </w:r>
      <w:r>
        <w:rPr>
          <w:rFonts w:hint="eastAsia" w:ascii="Times New Roman" w:hAnsi="Times New Roman" w:eastAsia="方正仿宋_GBK" w:cs="方正仿宋_GBK"/>
          <w:spacing w:val="0"/>
          <w:sz w:val="32"/>
          <w:szCs w:val="32"/>
          <w:shd w:val="clear" w:color="auto" w:fill="auto"/>
          <w:lang w:eastAsia="zh-CN"/>
        </w:rPr>
        <w:t>八</w:t>
      </w:r>
      <w:r>
        <w:rPr>
          <w:rFonts w:hint="eastAsia" w:ascii="Times New Roman" w:hAnsi="Times New Roman" w:eastAsia="方正仿宋_GBK" w:cs="方正仿宋_GBK"/>
          <w:spacing w:val="0"/>
          <w:sz w:val="32"/>
          <w:szCs w:val="32"/>
          <w:shd w:val="clear" w:color="auto" w:fill="auto"/>
        </w:rPr>
        <w:t>）双方的权利义务及违约责任；</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w:t>
      </w:r>
      <w:r>
        <w:rPr>
          <w:rFonts w:hint="eastAsia" w:ascii="Times New Roman" w:hAnsi="Times New Roman" w:eastAsia="方正仿宋_GBK" w:cs="方正仿宋_GBK"/>
          <w:spacing w:val="0"/>
          <w:sz w:val="32"/>
          <w:szCs w:val="32"/>
          <w:shd w:val="clear" w:color="auto" w:fill="auto"/>
          <w:lang w:eastAsia="zh-CN"/>
        </w:rPr>
        <w:t>九</w:t>
      </w:r>
      <w:r>
        <w:rPr>
          <w:rFonts w:hint="eastAsia" w:ascii="Times New Roman" w:hAnsi="Times New Roman" w:eastAsia="方正仿宋_GBK" w:cs="方正仿宋_GBK"/>
          <w:spacing w:val="0"/>
          <w:sz w:val="32"/>
          <w:szCs w:val="32"/>
          <w:shd w:val="clear" w:color="auto" w:fill="auto"/>
        </w:rPr>
        <w:t>）纠纷的处理方式；</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w:t>
      </w:r>
      <w:r>
        <w:rPr>
          <w:rFonts w:hint="eastAsia" w:ascii="Times New Roman" w:hAnsi="Times New Roman" w:eastAsia="方正仿宋_GBK" w:cs="方正仿宋_GBK"/>
          <w:spacing w:val="0"/>
          <w:sz w:val="32"/>
          <w:szCs w:val="32"/>
          <w:shd w:val="clear" w:color="auto" w:fill="auto"/>
          <w:lang w:eastAsia="zh-CN"/>
        </w:rPr>
        <w:t>十</w:t>
      </w:r>
      <w:r>
        <w:rPr>
          <w:rFonts w:hint="eastAsia" w:ascii="Times New Roman" w:hAnsi="Times New Roman" w:eastAsia="方正仿宋_GBK" w:cs="方正仿宋_GBK"/>
          <w:spacing w:val="0"/>
          <w:sz w:val="32"/>
          <w:szCs w:val="32"/>
          <w:shd w:val="clear" w:color="auto" w:fill="auto"/>
        </w:rPr>
        <w:t>）其他需约定事项；</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（十</w:t>
      </w:r>
      <w:r>
        <w:rPr>
          <w:rFonts w:hint="eastAsia" w:ascii="Times New Roman" w:hAnsi="Times New Roman" w:eastAsia="方正仿宋_GBK" w:cs="方正仿宋_GBK"/>
          <w:spacing w:val="0"/>
          <w:sz w:val="32"/>
          <w:szCs w:val="32"/>
          <w:shd w:val="clear" w:color="auto" w:fill="auto"/>
          <w:lang w:eastAsia="zh-CN"/>
        </w:rPr>
        <w:t>一</w:t>
      </w:r>
      <w:r>
        <w:rPr>
          <w:rFonts w:hint="eastAsia" w:ascii="Times New Roman" w:hAnsi="Times New Roman" w:eastAsia="方正仿宋_GBK" w:cs="方正仿宋_GBK"/>
          <w:spacing w:val="0"/>
          <w:sz w:val="32"/>
          <w:szCs w:val="32"/>
          <w:shd w:val="clear" w:color="auto" w:fill="auto"/>
        </w:rPr>
        <w:t>）附图。</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b/>
          <w:spacing w:val="0"/>
          <w:sz w:val="32"/>
          <w:szCs w:val="32"/>
          <w:shd w:val="clear" w:color="auto" w:fill="auto"/>
        </w:rPr>
        <w:t>第十条</w:t>
      </w:r>
      <w:r>
        <w:rPr>
          <w:rFonts w:hint="eastAsia" w:ascii="Times New Roman" w:hAnsi="Times New Roman" w:eastAsia="方正仿宋_GBK" w:cs="方正仿宋_GBK"/>
          <w:b/>
          <w:spacing w:val="0"/>
          <w:sz w:val="32"/>
          <w:szCs w:val="32"/>
          <w:shd w:val="clear" w:color="auto" w:fill="auto"/>
          <w:lang w:val="en-US" w:eastAsia="zh-CN"/>
        </w:rPr>
        <w:t xml:space="preserve"> </w:t>
      </w:r>
      <w:r>
        <w:rPr>
          <w:rFonts w:hint="eastAsia" w:ascii="Times New Roman" w:hAnsi="Times New Roman" w:eastAsia="方正仿宋_GBK" w:cs="方正仿宋_GBK"/>
          <w:spacing w:val="0"/>
          <w:sz w:val="32"/>
          <w:szCs w:val="32"/>
          <w:shd w:val="clear" w:color="auto" w:fill="auto"/>
        </w:rPr>
        <w:t>收购土地需满足以下条件方可实施交地：</w:t>
      </w:r>
    </w:p>
    <w:p>
      <w:pPr>
        <w:keepNext w:val="0"/>
        <w:keepLines w:val="0"/>
        <w:pageBreakBefore w:val="0"/>
        <w:widowControl w:val="0"/>
        <w:numPr>
          <w:ilvl w:val="0"/>
          <w:numId w:val="4"/>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土地使用权及地上建构筑物权属清晰，无权属争议；</w:t>
      </w:r>
    </w:p>
    <w:p>
      <w:pPr>
        <w:keepNext w:val="0"/>
        <w:keepLines w:val="0"/>
        <w:pageBreakBefore w:val="0"/>
        <w:widowControl w:val="0"/>
        <w:numPr>
          <w:ilvl w:val="0"/>
          <w:numId w:val="4"/>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查封、抵押、租赁等他项权利已经解除；</w:t>
      </w:r>
    </w:p>
    <w:p>
      <w:pPr>
        <w:keepNext w:val="0"/>
        <w:keepLines w:val="0"/>
        <w:pageBreakBefore w:val="0"/>
        <w:widowControl w:val="0"/>
        <w:numPr>
          <w:ilvl w:val="0"/>
          <w:numId w:val="4"/>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土壤污染治理已实施完毕或明确土地污染治理的责任承担主体和费用处理原则；</w:t>
      </w:r>
    </w:p>
    <w:p>
      <w:pPr>
        <w:keepNext w:val="0"/>
        <w:keepLines w:val="0"/>
        <w:pageBreakBefore w:val="0"/>
        <w:widowControl w:val="0"/>
        <w:numPr>
          <w:ilvl w:val="0"/>
          <w:numId w:val="4"/>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收购土地范围内可以搬迁设施设备已完成搬迁、拆除，或已明确后期处置原则。</w:t>
      </w:r>
    </w:p>
    <w:p>
      <w:pPr>
        <w:keepNext w:val="0"/>
        <w:keepLines w:val="0"/>
        <w:pageBreakBefore w:val="0"/>
        <w:widowControl w:val="0"/>
        <w:numPr>
          <w:ilvl w:val="0"/>
          <w:numId w:val="4"/>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收购合同中约定的其他事项。</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仿宋_GBK" w:cs="方正仿宋_GBK"/>
          <w:b/>
          <w:spacing w:val="0"/>
          <w:sz w:val="32"/>
          <w:szCs w:val="32"/>
          <w:shd w:val="clear" w:color="auto" w:fill="auto"/>
        </w:rPr>
      </w:pPr>
    </w:p>
    <w:p>
      <w:pPr>
        <w:keepNext w:val="0"/>
        <w:keepLines w:val="0"/>
        <w:pageBreakBefore w:val="0"/>
        <w:widowControl w:val="0"/>
        <w:numPr>
          <w:ilvl w:val="0"/>
          <w:numId w:val="1"/>
        </w:numPr>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ascii="方正黑体_GBK" w:hAnsi="方正黑体_GBK" w:eastAsia="方正黑体_GBK" w:cs="方正黑体_GBK"/>
          <w:b w:val="0"/>
          <w:bCs/>
          <w:spacing w:val="0"/>
          <w:sz w:val="32"/>
          <w:szCs w:val="32"/>
          <w:shd w:val="clear" w:color="auto" w:fill="auto"/>
        </w:rPr>
      </w:pPr>
      <w:r>
        <w:rPr>
          <w:rFonts w:hint="eastAsia" w:ascii="方正黑体_GBK" w:hAnsi="方正黑体_GBK" w:eastAsia="方正黑体_GBK" w:cs="方正黑体_GBK"/>
          <w:b w:val="0"/>
          <w:bCs/>
          <w:spacing w:val="0"/>
          <w:sz w:val="32"/>
          <w:szCs w:val="32"/>
          <w:shd w:val="clear" w:color="auto" w:fill="auto"/>
          <w:lang w:val="en-US" w:eastAsia="zh-CN"/>
        </w:rPr>
        <w:t xml:space="preserve"> </w:t>
      </w:r>
      <w:r>
        <w:rPr>
          <w:rFonts w:hint="eastAsia" w:ascii="方正黑体_GBK" w:hAnsi="方正黑体_GBK" w:eastAsia="方正黑体_GBK" w:cs="方正黑体_GBK"/>
          <w:b w:val="0"/>
          <w:bCs/>
          <w:spacing w:val="0"/>
          <w:sz w:val="32"/>
          <w:szCs w:val="32"/>
          <w:shd w:val="clear" w:color="auto" w:fill="auto"/>
        </w:rPr>
        <w:t>价格确定</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0" w:firstLineChars="0"/>
        <w:jc w:val="center"/>
        <w:textAlignment w:val="auto"/>
        <w:rPr>
          <w:rFonts w:hint="eastAsia" w:ascii="方正楷体_GBK" w:hAnsi="方正楷体_GBK" w:eastAsia="方正楷体_GBK" w:cs="方正楷体_GBK"/>
          <w:b w:val="0"/>
          <w:bCs w:val="0"/>
          <w:spacing w:val="0"/>
          <w:sz w:val="32"/>
          <w:szCs w:val="32"/>
          <w:shd w:val="clear" w:color="auto" w:fill="auto"/>
          <w:lang w:val="en-US" w:eastAsia="zh-CN"/>
        </w:rPr>
      </w:pPr>
      <w:r>
        <w:rPr>
          <w:rFonts w:hint="eastAsia" w:ascii="方正楷体_GBK" w:hAnsi="方正楷体_GBK" w:eastAsia="方正楷体_GBK" w:cs="方正楷体_GBK"/>
          <w:b w:val="0"/>
          <w:bCs w:val="0"/>
          <w:spacing w:val="0"/>
          <w:sz w:val="32"/>
          <w:szCs w:val="32"/>
          <w:shd w:val="clear" w:color="auto" w:fill="auto"/>
          <w:lang w:val="en-US" w:eastAsia="zh-CN"/>
        </w:rPr>
        <w:t>第一节  收回补偿价格</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w:t>
      </w:r>
      <w:r>
        <w:rPr>
          <w:rFonts w:hint="eastAsia" w:ascii="Times New Roman" w:hAnsi="Times New Roman" w:eastAsia="方正仿宋_GBK" w:cs="方正仿宋_GBK"/>
          <w:b/>
          <w:color w:val="auto"/>
          <w:spacing w:val="0"/>
          <w:sz w:val="32"/>
          <w:szCs w:val="32"/>
          <w:shd w:val="clear" w:color="auto" w:fill="auto"/>
          <w:lang w:eastAsia="zh-CN"/>
        </w:rPr>
        <w:t>十一</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rPr>
        <w:t>国有土地使用权收回补偿价格包括原土地使用权人在该宗土地上的成本投入、税费、利息以及合理利润。</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w:t>
      </w:r>
      <w:r>
        <w:rPr>
          <w:rFonts w:hint="eastAsia" w:ascii="Times New Roman" w:hAnsi="Times New Roman" w:eastAsia="方正仿宋_GBK" w:cs="方正仿宋_GBK"/>
          <w:b/>
          <w:color w:val="auto"/>
          <w:spacing w:val="0"/>
          <w:sz w:val="32"/>
          <w:szCs w:val="32"/>
          <w:shd w:val="clear" w:color="auto" w:fill="auto"/>
          <w:lang w:eastAsia="zh-CN"/>
        </w:rPr>
        <w:t>十二</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lang w:eastAsia="zh-CN"/>
        </w:rPr>
        <w:t>原</w:t>
      </w:r>
      <w:r>
        <w:rPr>
          <w:rFonts w:hint="eastAsia" w:ascii="Times New Roman" w:hAnsi="Times New Roman" w:eastAsia="方正仿宋_GBK" w:cs="方正仿宋_GBK"/>
          <w:color w:val="auto"/>
          <w:spacing w:val="0"/>
          <w:sz w:val="32"/>
          <w:szCs w:val="32"/>
          <w:shd w:val="clear" w:color="auto" w:fill="auto"/>
        </w:rPr>
        <w:t>土地使用权人在该宗土地上的成本投入包括土地取得成本费用及实际发生的土地前期开发费、间接费用，采取审计方式确定。原土地使用权人在宗地上的成本投入计算截止时间以政府发布国有土地使用权收回方案公告的日期为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（一）土地取得成本费用按</w:t>
      </w:r>
      <w:r>
        <w:rPr>
          <w:rFonts w:hint="eastAsia" w:ascii="Times New Roman" w:hAnsi="Times New Roman" w:eastAsia="方正仿宋_GBK" w:cs="方正仿宋_GBK"/>
          <w:color w:val="auto"/>
          <w:spacing w:val="0"/>
          <w:sz w:val="32"/>
          <w:szCs w:val="32"/>
          <w:shd w:val="clear" w:color="auto" w:fill="auto"/>
          <w:lang w:eastAsia="zh-CN"/>
        </w:rPr>
        <w:t>原土地使用权人依据</w:t>
      </w:r>
      <w:r>
        <w:rPr>
          <w:rFonts w:hint="eastAsia" w:ascii="Times New Roman" w:hAnsi="Times New Roman" w:eastAsia="方正仿宋_GBK" w:cs="方正仿宋_GBK"/>
          <w:color w:val="auto"/>
          <w:spacing w:val="0"/>
          <w:sz w:val="32"/>
          <w:szCs w:val="32"/>
          <w:shd w:val="clear" w:color="auto" w:fill="auto"/>
        </w:rPr>
        <w:t>国有土地使用权出让合同约定或划拨决定书规定</w:t>
      </w:r>
      <w:r>
        <w:rPr>
          <w:rFonts w:hint="eastAsia" w:ascii="Times New Roman" w:hAnsi="Times New Roman" w:eastAsia="方正仿宋_GBK" w:cs="方正仿宋_GBK"/>
          <w:color w:val="auto"/>
          <w:spacing w:val="0"/>
          <w:sz w:val="32"/>
          <w:szCs w:val="32"/>
          <w:shd w:val="clear" w:color="auto" w:fill="auto"/>
          <w:lang w:eastAsia="zh-CN"/>
        </w:rPr>
        <w:t>实际支付的</w:t>
      </w:r>
      <w:r>
        <w:rPr>
          <w:rFonts w:hint="eastAsia" w:ascii="Times New Roman" w:hAnsi="Times New Roman" w:eastAsia="方正仿宋_GBK" w:cs="方正仿宋_GBK"/>
          <w:color w:val="auto"/>
          <w:spacing w:val="0"/>
          <w:sz w:val="32"/>
          <w:szCs w:val="32"/>
          <w:shd w:val="clear" w:color="auto" w:fill="auto"/>
        </w:rPr>
        <w:t>土地价款</w:t>
      </w:r>
      <w:r>
        <w:rPr>
          <w:rFonts w:hint="eastAsia" w:ascii="Times New Roman" w:hAnsi="Times New Roman" w:eastAsia="方正仿宋_GBK" w:cs="方正仿宋_GBK"/>
          <w:color w:val="auto"/>
          <w:spacing w:val="0"/>
          <w:sz w:val="32"/>
          <w:szCs w:val="32"/>
          <w:shd w:val="clear" w:color="auto" w:fill="auto"/>
          <w:lang w:eastAsia="zh-CN"/>
        </w:rPr>
        <w:t>，</w:t>
      </w:r>
      <w:r>
        <w:rPr>
          <w:rFonts w:hint="eastAsia" w:ascii="Times New Roman" w:hAnsi="Times New Roman" w:eastAsia="方正仿宋_GBK" w:cs="方正仿宋_GBK"/>
          <w:color w:val="auto"/>
          <w:spacing w:val="0"/>
          <w:sz w:val="32"/>
          <w:szCs w:val="32"/>
          <w:shd w:val="clear" w:color="auto" w:fill="auto"/>
        </w:rPr>
        <w:t>扣除</w:t>
      </w:r>
      <w:r>
        <w:rPr>
          <w:rFonts w:hint="eastAsia" w:ascii="Times New Roman" w:hAnsi="Times New Roman" w:eastAsia="方正仿宋_GBK" w:cs="方正仿宋_GBK"/>
          <w:color w:val="auto"/>
          <w:spacing w:val="0"/>
          <w:sz w:val="32"/>
          <w:szCs w:val="32"/>
          <w:shd w:val="clear" w:color="auto" w:fill="auto"/>
          <w:lang w:eastAsia="zh-CN"/>
        </w:rPr>
        <w:t>原</w:t>
      </w:r>
      <w:r>
        <w:rPr>
          <w:rFonts w:hint="eastAsia" w:ascii="Times New Roman" w:hAnsi="Times New Roman" w:eastAsia="方正仿宋_GBK" w:cs="方正仿宋_GBK"/>
          <w:color w:val="auto"/>
          <w:spacing w:val="0"/>
          <w:sz w:val="32"/>
          <w:szCs w:val="32"/>
          <w:shd w:val="clear" w:color="auto" w:fill="auto"/>
        </w:rPr>
        <w:t>土地使用权人享受的土地减免或优惠政策的价格确定。</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原国有土地使用权出让合同未约定或划拨决定书未规定土地价款的，由土地储备整治机构委托土地评估机构评估原土地使用权人首次从政府依法取得土地时点、原批准规划条件下的土地价格作为国有建设用地使用权出让合同约定或划拨决定书规定的土地价款。</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原土地使用权人首次从政府依法取得土地时，实际另行支付了征收拆迁费用，但未在国有土地使用权出让合同约定或未在划拨决定书中规定的，应据实计入土地取得成本费用。</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以工程项目等价配置土地等情形取得土地的，其土地取得成本费用以审计部门对该项工程的审计决算报告审定的金额为准。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（二）土地前期开发费包括项目开发前期的可行性研究费、规划设计费、水文地质勘察费、场地平整费、临时设施费等，以实际发生的费用数额确定。</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6"/>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因</w:t>
      </w:r>
      <w:r>
        <w:rPr>
          <w:rFonts w:hint="eastAsia" w:ascii="Times New Roman" w:hAnsi="Times New Roman" w:eastAsia="方正仿宋_GBK" w:cs="方正仿宋_GBK"/>
          <w:color w:val="auto"/>
          <w:spacing w:val="6"/>
          <w:sz w:val="32"/>
          <w:szCs w:val="32"/>
          <w:shd w:val="clear" w:color="auto" w:fill="auto"/>
        </w:rPr>
        <w:t>票据缺失，原土地使用权人无法提供相应费用数额的，应按照市场公允的原则，结合费用实际发生时间的市场价格合理确定。</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（三）间接费用是指为实施宗地管理而发生的看护费、差旅费、办公费等，应按照市场公允的原则，结合实际发生的时间、区域社会平均成本等因素综合确定。</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w:t>
      </w:r>
      <w:r>
        <w:rPr>
          <w:rFonts w:hint="eastAsia" w:ascii="Times New Roman" w:hAnsi="Times New Roman" w:eastAsia="方正仿宋_GBK" w:cs="方正仿宋_GBK"/>
          <w:b/>
          <w:color w:val="auto"/>
          <w:spacing w:val="0"/>
          <w:sz w:val="32"/>
          <w:szCs w:val="32"/>
          <w:shd w:val="clear" w:color="auto" w:fill="auto"/>
          <w:lang w:eastAsia="zh-CN"/>
        </w:rPr>
        <w:t>十三</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rPr>
        <w:t>税费是原土地使用权人取得该宗土地以及在对该宗土地开发投入过程中实际已缴纳的各项税收和规费。</w:t>
      </w:r>
    </w:p>
    <w:p>
      <w:pPr>
        <w:pStyle w:val="9"/>
        <w:keepNext w:val="0"/>
        <w:keepLines w:val="0"/>
        <w:pageBreakBefore w:val="0"/>
        <w:widowControl w:val="0"/>
        <w:kinsoku/>
        <w:wordWrap/>
        <w:overflowPunct/>
        <w:topLinePunct w:val="0"/>
        <w:autoSpaceDE/>
        <w:autoSpaceDN/>
        <w:bidi w:val="0"/>
        <w:adjustRightInd/>
        <w:snapToGrid w:val="0"/>
        <w:spacing w:line="594" w:lineRule="exact"/>
        <w:ind w:firstLine="643"/>
        <w:textAlignment w:val="auto"/>
        <w:outlineLvl w:val="9"/>
        <w:rPr>
          <w:rFonts w:hint="eastAsia" w:ascii="Times New Roman" w:hAnsi="Times New Roman" w:eastAsia="方正仿宋_GBK" w:cs="方正仿宋_GBK"/>
          <w:b/>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第十</w:t>
      </w:r>
      <w:r>
        <w:rPr>
          <w:rFonts w:hint="eastAsia" w:ascii="Times New Roman" w:hAnsi="Times New Roman" w:eastAsia="方正仿宋_GBK" w:cs="方正仿宋_GBK"/>
          <w:b/>
          <w:color w:val="auto"/>
          <w:spacing w:val="0"/>
          <w:sz w:val="32"/>
          <w:szCs w:val="32"/>
          <w:shd w:val="clear" w:color="auto" w:fill="auto"/>
          <w:lang w:eastAsia="zh-CN"/>
        </w:rPr>
        <w:t>四</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rPr>
        <w:t>利息按原土地使用权人对该宗土地的成本投入及缴纳的税费之和、相应资金实际占用时间、年化贷款利率三者的乘积确定。</w:t>
      </w:r>
    </w:p>
    <w:p>
      <w:pPr>
        <w:pStyle w:val="9"/>
        <w:keepNext w:val="0"/>
        <w:keepLines w:val="0"/>
        <w:pageBreakBefore w:val="0"/>
        <w:widowControl w:val="0"/>
        <w:kinsoku/>
        <w:wordWrap/>
        <w:overflowPunct/>
        <w:topLinePunct w:val="0"/>
        <w:autoSpaceDE/>
        <w:autoSpaceDN/>
        <w:bidi w:val="0"/>
        <w:adjustRightInd/>
        <w:snapToGrid w:val="0"/>
        <w:spacing w:line="594" w:lineRule="exact"/>
        <w:ind w:firstLine="643"/>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第十</w:t>
      </w:r>
      <w:r>
        <w:rPr>
          <w:rFonts w:hint="eastAsia" w:ascii="Times New Roman" w:hAnsi="Times New Roman" w:eastAsia="方正仿宋_GBK" w:cs="方正仿宋_GBK"/>
          <w:b/>
          <w:color w:val="auto"/>
          <w:spacing w:val="0"/>
          <w:sz w:val="32"/>
          <w:szCs w:val="32"/>
          <w:shd w:val="clear" w:color="auto" w:fill="auto"/>
          <w:lang w:eastAsia="zh-CN"/>
        </w:rPr>
        <w:t>五</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rPr>
        <w:t>相应资金实际占用时间按照原土地使用权人对该宗土地的成本投入及缴纳的税费发生的日期与政府向社会公告国有土地使用权收回方案的日期之间的时间差确定。</w:t>
      </w:r>
    </w:p>
    <w:p>
      <w:pPr>
        <w:pStyle w:val="9"/>
        <w:keepNext w:val="0"/>
        <w:keepLines w:val="0"/>
        <w:pageBreakBefore w:val="0"/>
        <w:widowControl w:val="0"/>
        <w:kinsoku/>
        <w:wordWrap/>
        <w:overflowPunct/>
        <w:topLinePunct w:val="0"/>
        <w:autoSpaceDE/>
        <w:autoSpaceDN/>
        <w:bidi w:val="0"/>
        <w:adjustRightInd/>
        <w:snapToGrid w:val="0"/>
        <w:spacing w:line="594" w:lineRule="exact"/>
        <w:ind w:firstLine="643"/>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第十</w:t>
      </w:r>
      <w:r>
        <w:rPr>
          <w:rFonts w:hint="eastAsia" w:ascii="Times New Roman" w:hAnsi="Times New Roman" w:eastAsia="方正仿宋_GBK" w:cs="方正仿宋_GBK"/>
          <w:b/>
          <w:color w:val="auto"/>
          <w:spacing w:val="0"/>
          <w:sz w:val="32"/>
          <w:szCs w:val="32"/>
          <w:shd w:val="clear" w:color="auto" w:fill="auto"/>
          <w:lang w:eastAsia="zh-CN"/>
        </w:rPr>
        <w:t>六</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rPr>
        <w:t>贷款利率按下列方式执行：</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lang w:eastAsia="zh-CN"/>
        </w:rPr>
      </w:pPr>
      <w:r>
        <w:rPr>
          <w:rFonts w:hint="eastAsia" w:ascii="Times New Roman" w:hAnsi="Times New Roman" w:eastAsia="方正仿宋_GBK" w:cs="方正仿宋_GBK"/>
          <w:color w:val="auto"/>
          <w:spacing w:val="0"/>
          <w:sz w:val="32"/>
          <w:szCs w:val="32"/>
          <w:shd w:val="clear" w:color="auto" w:fill="auto"/>
        </w:rPr>
        <w:t>（一）相应资金实际占用时间在3年以及3年以下的</w:t>
      </w:r>
      <w:r>
        <w:rPr>
          <w:rFonts w:hint="eastAsia" w:ascii="Times New Roman" w:hAnsi="Times New Roman" w:eastAsia="方正仿宋_GBK" w:cs="方正仿宋_GBK"/>
          <w:color w:val="auto"/>
          <w:spacing w:val="0"/>
          <w:sz w:val="32"/>
          <w:szCs w:val="32"/>
          <w:shd w:val="clear" w:color="auto" w:fill="auto"/>
          <w:lang w:eastAsia="zh-CN"/>
        </w:rPr>
        <w:t>，按以下方式执行：</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1</w:t>
      </w:r>
      <w:r>
        <w:rPr>
          <w:rFonts w:hint="eastAsia" w:ascii="Times New Roman" w:hAnsi="Times New Roman" w:eastAsia="方正仿宋_GBK" w:cs="方正仿宋_GBK"/>
          <w:color w:val="auto"/>
          <w:spacing w:val="0"/>
          <w:sz w:val="32"/>
          <w:szCs w:val="32"/>
          <w:shd w:val="clear" w:color="auto" w:fill="auto"/>
          <w:lang w:eastAsia="zh-CN"/>
        </w:rPr>
        <w:t>．</w:t>
      </w:r>
      <w:r>
        <w:rPr>
          <w:rFonts w:hint="eastAsia" w:ascii="Times New Roman" w:hAnsi="Times New Roman" w:eastAsia="方正仿宋_GBK" w:cs="方正仿宋_GBK"/>
          <w:color w:val="auto"/>
          <w:spacing w:val="0"/>
          <w:sz w:val="32"/>
          <w:szCs w:val="32"/>
          <w:shd w:val="clear" w:color="auto" w:fill="auto"/>
        </w:rPr>
        <w:t>通过金融机构贷款的，按与金融机构签订的借贷合同约定的贷款利率执行；</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2</w:t>
      </w:r>
      <w:r>
        <w:rPr>
          <w:rFonts w:hint="eastAsia" w:ascii="Times New Roman" w:hAnsi="Times New Roman" w:eastAsia="方正仿宋_GBK" w:cs="方正仿宋_GBK"/>
          <w:color w:val="auto"/>
          <w:spacing w:val="0"/>
          <w:sz w:val="32"/>
          <w:szCs w:val="32"/>
          <w:shd w:val="clear" w:color="auto" w:fill="auto"/>
          <w:lang w:eastAsia="zh-CN"/>
        </w:rPr>
        <w:t>．</w:t>
      </w:r>
      <w:r>
        <w:rPr>
          <w:rFonts w:hint="eastAsia" w:ascii="Times New Roman" w:hAnsi="Times New Roman" w:eastAsia="方正仿宋_GBK" w:cs="方正仿宋_GBK"/>
          <w:color w:val="auto"/>
          <w:spacing w:val="0"/>
          <w:sz w:val="32"/>
          <w:szCs w:val="32"/>
          <w:shd w:val="clear" w:color="auto" w:fill="auto"/>
        </w:rPr>
        <w:t>通过民间借贷的借贷双方有约定贷款利率的，借贷利率小于</w:t>
      </w:r>
      <w:r>
        <w:rPr>
          <w:rFonts w:hint="eastAsia" w:ascii="Times New Roman" w:hAnsi="Times New Roman" w:eastAsia="方正仿宋_GBK" w:cs="方正仿宋_GBK"/>
          <w:color w:val="auto"/>
          <w:spacing w:val="0"/>
          <w:sz w:val="32"/>
          <w:szCs w:val="32"/>
          <w:shd w:val="clear" w:color="auto" w:fill="auto"/>
          <w:lang w:eastAsia="zh-CN"/>
        </w:rPr>
        <w:t>同期全国银行间同业拆借中心公布的贷款市场报价利率</w:t>
      </w:r>
      <w:r>
        <w:rPr>
          <w:rFonts w:hint="eastAsia" w:ascii="Times New Roman" w:hAnsi="Times New Roman" w:eastAsia="方正仿宋_GBK" w:cs="方正仿宋_GBK"/>
          <w:color w:val="auto"/>
          <w:spacing w:val="0"/>
          <w:sz w:val="32"/>
          <w:szCs w:val="32"/>
          <w:shd w:val="clear" w:color="auto" w:fill="auto"/>
        </w:rPr>
        <w:t>上浮20%的，年化利率按双方约定的借贷利率执行；贷款利率大于或等于</w:t>
      </w:r>
      <w:r>
        <w:rPr>
          <w:rFonts w:hint="eastAsia" w:ascii="Times New Roman" w:hAnsi="Times New Roman" w:eastAsia="方正仿宋_GBK" w:cs="方正仿宋_GBK"/>
          <w:color w:val="auto"/>
          <w:spacing w:val="0"/>
          <w:sz w:val="32"/>
          <w:szCs w:val="32"/>
          <w:shd w:val="clear" w:color="auto" w:fill="auto"/>
          <w:lang w:eastAsia="zh-CN"/>
        </w:rPr>
        <w:t>同期全国银行间同业拆借中心公布的贷款市场报价利率</w:t>
      </w:r>
      <w:r>
        <w:rPr>
          <w:rFonts w:hint="eastAsia" w:ascii="Times New Roman" w:hAnsi="Times New Roman" w:eastAsia="方正仿宋_GBK" w:cs="方正仿宋_GBK"/>
          <w:color w:val="auto"/>
          <w:spacing w:val="0"/>
          <w:sz w:val="32"/>
          <w:szCs w:val="32"/>
          <w:shd w:val="clear" w:color="auto" w:fill="auto"/>
        </w:rPr>
        <w:t>上浮20%的，利率按</w:t>
      </w:r>
      <w:r>
        <w:rPr>
          <w:rFonts w:hint="eastAsia" w:ascii="Times New Roman" w:hAnsi="Times New Roman" w:eastAsia="方正仿宋_GBK" w:cs="方正仿宋_GBK"/>
          <w:color w:val="auto"/>
          <w:spacing w:val="0"/>
          <w:sz w:val="32"/>
          <w:szCs w:val="32"/>
          <w:shd w:val="clear" w:color="auto" w:fill="auto"/>
          <w:lang w:eastAsia="zh-CN"/>
        </w:rPr>
        <w:t>同期全国银行间同业拆借中心公布的贷款市场报价利率</w:t>
      </w:r>
      <w:r>
        <w:rPr>
          <w:rFonts w:hint="eastAsia" w:ascii="Times New Roman" w:hAnsi="Times New Roman" w:eastAsia="方正仿宋_GBK" w:cs="方正仿宋_GBK"/>
          <w:color w:val="auto"/>
          <w:spacing w:val="0"/>
          <w:sz w:val="32"/>
          <w:szCs w:val="32"/>
          <w:shd w:val="clear" w:color="auto" w:fill="auto"/>
        </w:rPr>
        <w:t>上浮20%执行。通过民间借贷的借贷双方未约定贷款利率的，按</w:t>
      </w:r>
      <w:r>
        <w:rPr>
          <w:rFonts w:hint="eastAsia" w:ascii="Times New Roman" w:hAnsi="Times New Roman" w:eastAsia="方正仿宋_GBK" w:cs="方正仿宋_GBK"/>
          <w:color w:val="auto"/>
          <w:spacing w:val="0"/>
          <w:sz w:val="32"/>
          <w:szCs w:val="32"/>
          <w:shd w:val="clear" w:color="auto" w:fill="auto"/>
          <w:lang w:eastAsia="zh-CN"/>
        </w:rPr>
        <w:t>同期全国银行间同业拆借中心公布的贷款市场报价利率</w:t>
      </w:r>
      <w:r>
        <w:rPr>
          <w:rFonts w:hint="eastAsia" w:ascii="Times New Roman" w:hAnsi="Times New Roman" w:eastAsia="方正仿宋_GBK" w:cs="方正仿宋_GBK"/>
          <w:color w:val="auto"/>
          <w:spacing w:val="0"/>
          <w:sz w:val="32"/>
          <w:szCs w:val="32"/>
          <w:shd w:val="clear" w:color="auto" w:fill="auto"/>
        </w:rPr>
        <w:t>执行。</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3</w:t>
      </w:r>
      <w:r>
        <w:rPr>
          <w:rFonts w:hint="eastAsia" w:ascii="Times New Roman" w:hAnsi="Times New Roman" w:eastAsia="方正仿宋_GBK" w:cs="方正仿宋_GBK"/>
          <w:color w:val="auto"/>
          <w:spacing w:val="0"/>
          <w:sz w:val="32"/>
          <w:szCs w:val="32"/>
          <w:shd w:val="clear" w:color="auto" w:fill="auto"/>
          <w:lang w:eastAsia="zh-CN"/>
        </w:rPr>
        <w:t>．</w:t>
      </w:r>
      <w:r>
        <w:rPr>
          <w:rFonts w:hint="eastAsia" w:ascii="Times New Roman" w:hAnsi="Times New Roman" w:eastAsia="方正仿宋_GBK" w:cs="方正仿宋_GBK"/>
          <w:color w:val="auto"/>
          <w:spacing w:val="0"/>
          <w:sz w:val="32"/>
          <w:szCs w:val="32"/>
          <w:shd w:val="clear" w:color="auto" w:fill="auto"/>
        </w:rPr>
        <w:t>使用自有资金的，按</w:t>
      </w:r>
      <w:r>
        <w:rPr>
          <w:rFonts w:hint="eastAsia" w:ascii="Times New Roman" w:hAnsi="Times New Roman" w:eastAsia="方正仿宋_GBK" w:cs="方正仿宋_GBK"/>
          <w:color w:val="auto"/>
          <w:spacing w:val="0"/>
          <w:sz w:val="32"/>
          <w:szCs w:val="32"/>
          <w:shd w:val="clear" w:color="auto" w:fill="auto"/>
          <w:lang w:eastAsia="zh-CN"/>
        </w:rPr>
        <w:t>同期全国银行间同业拆借中心公布的贷款市场报价利率执行</w:t>
      </w:r>
      <w:r>
        <w:rPr>
          <w:rFonts w:hint="eastAsia" w:ascii="Times New Roman" w:hAnsi="Times New Roman" w:eastAsia="方正仿宋_GBK" w:cs="方正仿宋_GBK"/>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（二）相应</w:t>
      </w:r>
      <w:r>
        <w:rPr>
          <w:rFonts w:hint="eastAsia" w:ascii="Times New Roman" w:hAnsi="Times New Roman" w:eastAsia="方正仿宋_GBK" w:cs="方正仿宋_GBK"/>
          <w:color w:val="auto"/>
          <w:spacing w:val="0"/>
          <w:sz w:val="32"/>
          <w:szCs w:val="32"/>
          <w:shd w:val="clear" w:color="auto" w:fill="auto"/>
          <w:lang w:eastAsia="zh-CN"/>
        </w:rPr>
        <w:t>资金</w:t>
      </w:r>
      <w:r>
        <w:rPr>
          <w:rFonts w:hint="eastAsia" w:ascii="Times New Roman" w:hAnsi="Times New Roman" w:eastAsia="方正仿宋_GBK" w:cs="方正仿宋_GBK"/>
          <w:color w:val="auto"/>
          <w:spacing w:val="0"/>
          <w:sz w:val="32"/>
          <w:szCs w:val="32"/>
          <w:shd w:val="clear" w:color="auto" w:fill="auto"/>
        </w:rPr>
        <w:t>实际占用时间在3年以上的</w:t>
      </w:r>
      <w:r>
        <w:rPr>
          <w:rFonts w:hint="eastAsia" w:ascii="Times New Roman" w:hAnsi="Times New Roman" w:eastAsia="方正仿宋_GBK" w:cs="方正仿宋_GBK"/>
          <w:color w:val="auto"/>
          <w:spacing w:val="0"/>
          <w:sz w:val="32"/>
          <w:szCs w:val="32"/>
          <w:shd w:val="clear" w:color="auto" w:fill="auto"/>
          <w:lang w:eastAsia="zh-CN"/>
        </w:rPr>
        <w:t>，</w:t>
      </w:r>
      <w:r>
        <w:rPr>
          <w:rFonts w:hint="eastAsia" w:ascii="Times New Roman" w:hAnsi="Times New Roman" w:eastAsia="方正仿宋_GBK" w:cs="方正仿宋_GBK"/>
          <w:color w:val="auto"/>
          <w:spacing w:val="0"/>
          <w:sz w:val="32"/>
          <w:szCs w:val="32"/>
          <w:shd w:val="clear" w:color="auto" w:fill="auto"/>
        </w:rPr>
        <w:t>前3年的年化贷款利率计算按照</w:t>
      </w:r>
      <w:r>
        <w:rPr>
          <w:rFonts w:hint="eastAsia" w:ascii="Times New Roman" w:hAnsi="Times New Roman" w:eastAsia="方正仿宋_GBK" w:cs="方正仿宋_GBK"/>
          <w:color w:val="auto"/>
          <w:spacing w:val="0"/>
          <w:sz w:val="32"/>
          <w:szCs w:val="32"/>
          <w:shd w:val="clear" w:color="auto" w:fill="auto"/>
          <w:lang w:eastAsia="zh-CN"/>
        </w:rPr>
        <w:t>本</w:t>
      </w:r>
      <w:r>
        <w:rPr>
          <w:rFonts w:hint="eastAsia" w:ascii="Times New Roman" w:hAnsi="Times New Roman" w:eastAsia="方正仿宋_GBK" w:cs="方正仿宋_GBK"/>
          <w:color w:val="auto"/>
          <w:spacing w:val="0"/>
          <w:sz w:val="32"/>
          <w:szCs w:val="32"/>
          <w:shd w:val="clear" w:color="auto" w:fill="auto"/>
        </w:rPr>
        <w:t>条第（一）项执行，超过3年部分的年化贷款利率，按</w:t>
      </w:r>
      <w:r>
        <w:rPr>
          <w:rFonts w:hint="eastAsia" w:ascii="Times New Roman" w:hAnsi="Times New Roman" w:eastAsia="方正仿宋_GBK" w:cs="方正仿宋_GBK"/>
          <w:color w:val="auto"/>
          <w:spacing w:val="0"/>
          <w:sz w:val="32"/>
          <w:szCs w:val="32"/>
          <w:shd w:val="clear" w:color="auto" w:fill="auto"/>
          <w:lang w:eastAsia="zh-CN"/>
        </w:rPr>
        <w:t>同期全国银行间同业拆借中心公布的贷款市场报价利率执行</w:t>
      </w:r>
      <w:r>
        <w:rPr>
          <w:rFonts w:hint="eastAsia" w:ascii="Times New Roman" w:hAnsi="Times New Roman" w:eastAsia="方正仿宋_GBK" w:cs="方正仿宋_GBK"/>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b/>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第十</w:t>
      </w:r>
      <w:r>
        <w:rPr>
          <w:rFonts w:hint="eastAsia" w:ascii="Times New Roman" w:hAnsi="Times New Roman" w:eastAsia="方正仿宋_GBK" w:cs="方正仿宋_GBK"/>
          <w:b/>
          <w:color w:val="auto"/>
          <w:spacing w:val="0"/>
          <w:sz w:val="32"/>
          <w:szCs w:val="32"/>
          <w:shd w:val="clear" w:color="auto" w:fill="auto"/>
          <w:lang w:eastAsia="zh-CN"/>
        </w:rPr>
        <w:t>七</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rPr>
        <w:t>合理利润按下列方式确定：</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（一）资金实际占用时间在3年以下的，合理利润按原土地使用权人在该宗土地的成本投入、资金实际占用时间、年化合理利润率三者的乘积确定。</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（二）资金实际占用时间在3年及3年以上的，合理利润统一按3年占用时间计算。</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第十</w:t>
      </w:r>
      <w:r>
        <w:rPr>
          <w:rFonts w:hint="eastAsia" w:ascii="Times New Roman" w:hAnsi="Times New Roman" w:eastAsia="方正仿宋_GBK" w:cs="方正仿宋_GBK"/>
          <w:b/>
          <w:color w:val="auto"/>
          <w:spacing w:val="0"/>
          <w:sz w:val="32"/>
          <w:szCs w:val="32"/>
          <w:shd w:val="clear" w:color="auto" w:fill="auto"/>
          <w:lang w:eastAsia="zh-CN"/>
        </w:rPr>
        <w:t>八</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lang w:eastAsia="zh-CN"/>
        </w:rPr>
        <w:t>第十七条规定的</w:t>
      </w:r>
      <w:r>
        <w:rPr>
          <w:rFonts w:hint="eastAsia" w:ascii="Times New Roman" w:hAnsi="Times New Roman" w:eastAsia="方正仿宋_GBK" w:cs="方正仿宋_GBK"/>
          <w:color w:val="auto"/>
          <w:spacing w:val="0"/>
          <w:sz w:val="32"/>
          <w:szCs w:val="32"/>
          <w:shd w:val="clear" w:color="auto" w:fill="auto"/>
        </w:rPr>
        <w:t>资金实际占用时间的计算方式参照本方法第十</w:t>
      </w:r>
      <w:r>
        <w:rPr>
          <w:rFonts w:hint="eastAsia" w:ascii="Times New Roman" w:hAnsi="Times New Roman" w:eastAsia="方正仿宋_GBK" w:cs="方正仿宋_GBK"/>
          <w:color w:val="auto"/>
          <w:spacing w:val="0"/>
          <w:sz w:val="32"/>
          <w:szCs w:val="32"/>
          <w:shd w:val="clear" w:color="auto" w:fill="auto"/>
          <w:lang w:eastAsia="zh-CN"/>
        </w:rPr>
        <w:t>五</w:t>
      </w:r>
      <w:r>
        <w:rPr>
          <w:rFonts w:hint="eastAsia" w:ascii="Times New Roman" w:hAnsi="Times New Roman" w:eastAsia="方正仿宋_GBK" w:cs="方正仿宋_GBK"/>
          <w:color w:val="auto"/>
          <w:spacing w:val="0"/>
          <w:sz w:val="32"/>
          <w:szCs w:val="32"/>
          <w:shd w:val="clear" w:color="auto" w:fill="auto"/>
        </w:rPr>
        <w:t>条执行。</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b/>
          <w:color w:val="auto"/>
          <w:spacing w:val="0"/>
          <w:sz w:val="32"/>
          <w:szCs w:val="32"/>
          <w:shd w:val="clear" w:color="auto" w:fill="auto"/>
        </w:rPr>
        <w:t>第十</w:t>
      </w:r>
      <w:r>
        <w:rPr>
          <w:rFonts w:hint="eastAsia" w:ascii="Times New Roman" w:hAnsi="Times New Roman" w:eastAsia="方正仿宋_GBK" w:cs="方正仿宋_GBK"/>
          <w:b/>
          <w:color w:val="auto"/>
          <w:spacing w:val="0"/>
          <w:sz w:val="32"/>
          <w:szCs w:val="32"/>
          <w:shd w:val="clear" w:color="auto" w:fill="auto"/>
          <w:lang w:eastAsia="zh-CN"/>
        </w:rPr>
        <w:t>九</w:t>
      </w:r>
      <w:r>
        <w:rPr>
          <w:rFonts w:hint="eastAsia" w:ascii="Times New Roman" w:hAnsi="Times New Roman" w:eastAsia="方正仿宋_GBK" w:cs="方正仿宋_GBK"/>
          <w:b/>
          <w:color w:val="auto"/>
          <w:spacing w:val="0"/>
          <w:sz w:val="32"/>
          <w:szCs w:val="32"/>
          <w:shd w:val="clear" w:color="auto" w:fill="auto"/>
        </w:rPr>
        <w:t>条</w:t>
      </w:r>
      <w:r>
        <w:rPr>
          <w:rFonts w:hint="eastAsia" w:ascii="Times New Roman" w:hAnsi="Times New Roman" w:eastAsia="方正仿宋_GBK" w:cs="方正仿宋_GBK"/>
          <w:b/>
          <w:color w:val="auto"/>
          <w:spacing w:val="0"/>
          <w:sz w:val="32"/>
          <w:szCs w:val="32"/>
          <w:shd w:val="clear" w:color="auto" w:fill="auto"/>
          <w:lang w:val="en-US" w:eastAsia="zh-CN"/>
        </w:rPr>
        <w:t xml:space="preserve"> </w:t>
      </w:r>
      <w:r>
        <w:rPr>
          <w:rFonts w:hint="eastAsia" w:ascii="Times New Roman" w:hAnsi="Times New Roman" w:eastAsia="方正仿宋_GBK" w:cs="方正仿宋_GBK"/>
          <w:color w:val="auto"/>
          <w:spacing w:val="0"/>
          <w:sz w:val="32"/>
          <w:szCs w:val="32"/>
          <w:shd w:val="clear" w:color="auto" w:fill="auto"/>
        </w:rPr>
        <w:t>年化合理利润率由市规划自然资源行政主管部门会同市财政部门等单位依据经济发展水平、土地市场状况、土地级别等因素综合考虑确定，原则上不得超过以下上限范围：</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（一）除交通运输、机场、港口、桥梁、通讯、水利，以及城市供排水、供气、供电基础设施建设外的划拨国有建设用地收回的，年化合理利润率上限为1.5%。</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6"/>
          <w:sz w:val="32"/>
          <w:szCs w:val="32"/>
          <w:shd w:val="clear" w:color="auto" w:fill="auto"/>
        </w:rPr>
      </w:pPr>
      <w:r>
        <w:rPr>
          <w:rFonts w:hint="eastAsia" w:ascii="Times New Roman" w:hAnsi="Times New Roman" w:eastAsia="方正仿宋_GBK" w:cs="方正仿宋_GBK"/>
          <w:color w:val="auto"/>
          <w:spacing w:val="0"/>
          <w:sz w:val="32"/>
          <w:szCs w:val="32"/>
          <w:shd w:val="clear" w:color="auto" w:fill="auto"/>
        </w:rPr>
        <w:t>（二）</w:t>
      </w:r>
      <w:r>
        <w:rPr>
          <w:rFonts w:hint="eastAsia" w:ascii="Times New Roman" w:hAnsi="Times New Roman" w:eastAsia="方正仿宋_GBK" w:cs="方正仿宋_GBK"/>
          <w:color w:val="auto"/>
          <w:spacing w:val="6"/>
          <w:sz w:val="32"/>
          <w:szCs w:val="32"/>
          <w:shd w:val="clear" w:color="auto" w:fill="auto"/>
        </w:rPr>
        <w:t>工业用地（含参照工业用地出让的土地）收回的年化合理利润率上限为2%；商住用地收回的年化合理利润率上限为4%。</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楷体_GBK" w:hAnsi="方正楷体_GBK" w:eastAsia="方正楷体_GBK" w:cs="方正楷体_GBK"/>
          <w:b w:val="0"/>
          <w:bCs w:val="0"/>
          <w:spacing w:val="0"/>
          <w:sz w:val="32"/>
          <w:szCs w:val="32"/>
          <w:shd w:val="clear" w:color="auto" w:fill="auto"/>
        </w:rPr>
      </w:pPr>
      <w:r>
        <w:rPr>
          <w:rFonts w:hint="eastAsia" w:ascii="方正楷体_GBK" w:hAnsi="方正楷体_GBK" w:eastAsia="方正楷体_GBK" w:cs="方正楷体_GBK"/>
          <w:b w:val="0"/>
          <w:bCs w:val="0"/>
          <w:spacing w:val="0"/>
          <w:sz w:val="32"/>
          <w:szCs w:val="32"/>
          <w:shd w:val="clear" w:color="auto" w:fill="auto"/>
        </w:rPr>
        <w:t>第</w:t>
      </w:r>
      <w:r>
        <w:rPr>
          <w:rFonts w:hint="eastAsia" w:ascii="方正楷体_GBK" w:hAnsi="方正楷体_GBK" w:eastAsia="方正楷体_GBK" w:cs="方正楷体_GBK"/>
          <w:b w:val="0"/>
          <w:bCs w:val="0"/>
          <w:spacing w:val="0"/>
          <w:sz w:val="32"/>
          <w:szCs w:val="32"/>
          <w:shd w:val="clear" w:color="auto" w:fill="auto"/>
          <w:lang w:eastAsia="zh-CN"/>
        </w:rPr>
        <w:t>二</w:t>
      </w:r>
      <w:r>
        <w:rPr>
          <w:rFonts w:hint="eastAsia" w:ascii="方正楷体_GBK" w:hAnsi="方正楷体_GBK" w:eastAsia="方正楷体_GBK" w:cs="方正楷体_GBK"/>
          <w:b w:val="0"/>
          <w:bCs w:val="0"/>
          <w:spacing w:val="0"/>
          <w:sz w:val="32"/>
          <w:szCs w:val="32"/>
          <w:shd w:val="clear" w:color="auto" w:fill="auto"/>
        </w:rPr>
        <w:t xml:space="preserve">节 </w:t>
      </w:r>
      <w:r>
        <w:rPr>
          <w:rFonts w:hint="eastAsia" w:ascii="方正楷体_GBK" w:hAnsi="方正楷体_GBK" w:eastAsia="方正楷体_GBK" w:cs="方正楷体_GBK"/>
          <w:b w:val="0"/>
          <w:bCs w:val="0"/>
          <w:spacing w:val="0"/>
          <w:sz w:val="32"/>
          <w:szCs w:val="32"/>
          <w:shd w:val="clear" w:color="auto" w:fill="auto"/>
          <w:lang w:val="en-US" w:eastAsia="zh-CN"/>
        </w:rPr>
        <w:t xml:space="preserve"> </w:t>
      </w:r>
      <w:r>
        <w:rPr>
          <w:rFonts w:hint="eastAsia" w:ascii="方正楷体_GBK" w:hAnsi="方正楷体_GBK" w:eastAsia="方正楷体_GBK" w:cs="方正楷体_GBK"/>
          <w:b w:val="0"/>
          <w:bCs w:val="0"/>
          <w:spacing w:val="0"/>
          <w:sz w:val="32"/>
          <w:szCs w:val="32"/>
          <w:shd w:val="clear" w:color="auto" w:fill="auto"/>
          <w:lang w:eastAsia="zh-CN"/>
        </w:rPr>
        <w:t>收购</w:t>
      </w:r>
      <w:r>
        <w:rPr>
          <w:rFonts w:hint="eastAsia" w:ascii="方正楷体_GBK" w:hAnsi="方正楷体_GBK" w:eastAsia="方正楷体_GBK" w:cs="方正楷体_GBK"/>
          <w:b w:val="0"/>
          <w:bCs w:val="0"/>
          <w:spacing w:val="0"/>
          <w:sz w:val="32"/>
          <w:szCs w:val="32"/>
          <w:shd w:val="clear" w:color="auto" w:fill="auto"/>
        </w:rPr>
        <w:t>价格</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b/>
          <w:spacing w:val="0"/>
          <w:sz w:val="32"/>
          <w:szCs w:val="32"/>
          <w:shd w:val="clear" w:color="auto" w:fill="auto"/>
        </w:rPr>
        <w:t>第</w:t>
      </w:r>
      <w:r>
        <w:rPr>
          <w:rFonts w:hint="eastAsia" w:ascii="Times New Roman" w:hAnsi="Times New Roman" w:eastAsia="方正仿宋_GBK" w:cs="方正仿宋_GBK"/>
          <w:b/>
          <w:spacing w:val="0"/>
          <w:sz w:val="32"/>
          <w:szCs w:val="32"/>
          <w:shd w:val="clear" w:color="auto" w:fill="auto"/>
          <w:lang w:eastAsia="zh-CN"/>
        </w:rPr>
        <w:t>二十</w:t>
      </w:r>
      <w:r>
        <w:rPr>
          <w:rFonts w:hint="eastAsia" w:ascii="Times New Roman" w:hAnsi="Times New Roman" w:eastAsia="方正仿宋_GBK" w:cs="方正仿宋_GBK"/>
          <w:b/>
          <w:spacing w:val="0"/>
          <w:sz w:val="32"/>
          <w:szCs w:val="32"/>
          <w:shd w:val="clear" w:color="auto" w:fill="auto"/>
        </w:rPr>
        <w:t>条</w:t>
      </w:r>
      <w:r>
        <w:rPr>
          <w:rFonts w:hint="eastAsia" w:ascii="Times New Roman" w:hAnsi="Times New Roman" w:eastAsia="方正仿宋_GBK" w:cs="方正仿宋_GBK"/>
          <w:b/>
          <w:spacing w:val="0"/>
          <w:sz w:val="32"/>
          <w:szCs w:val="32"/>
          <w:shd w:val="clear" w:color="auto" w:fill="auto"/>
          <w:lang w:val="en-US" w:eastAsia="zh-CN"/>
        </w:rPr>
        <w:t xml:space="preserve"> </w:t>
      </w:r>
      <w:r>
        <w:rPr>
          <w:rFonts w:hint="eastAsia" w:ascii="Times New Roman" w:hAnsi="Times New Roman" w:eastAsia="方正仿宋_GBK" w:cs="方正仿宋_GBK"/>
          <w:spacing w:val="0"/>
          <w:sz w:val="32"/>
          <w:szCs w:val="32"/>
          <w:shd w:val="clear" w:color="auto" w:fill="auto"/>
        </w:rPr>
        <w:t>国有土地使用权</w:t>
      </w:r>
      <w:r>
        <w:rPr>
          <w:rFonts w:hint="eastAsia" w:ascii="Times New Roman" w:hAnsi="Times New Roman" w:eastAsia="方正仿宋_GBK" w:cs="方正仿宋_GBK"/>
          <w:spacing w:val="0"/>
          <w:sz w:val="32"/>
          <w:szCs w:val="32"/>
          <w:shd w:val="clear" w:color="auto" w:fill="auto"/>
          <w:lang w:eastAsia="zh-CN"/>
        </w:rPr>
        <w:t>收购</w:t>
      </w:r>
      <w:r>
        <w:rPr>
          <w:rFonts w:hint="eastAsia" w:ascii="Times New Roman" w:hAnsi="Times New Roman" w:eastAsia="方正仿宋_GBK" w:cs="方正仿宋_GBK"/>
          <w:spacing w:val="0"/>
          <w:sz w:val="32"/>
          <w:szCs w:val="32"/>
          <w:shd w:val="clear" w:color="auto" w:fill="auto"/>
        </w:rPr>
        <w:t>价格由国有土地使用权和地上构筑物、附着物、合法建筑物的评估价格组成。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方正仿宋_GBK"/>
          <w:spacing w:val="0"/>
          <w:sz w:val="32"/>
          <w:szCs w:val="32"/>
          <w:shd w:val="clear" w:color="auto" w:fill="auto"/>
        </w:rPr>
      </w:pPr>
      <w:r>
        <w:rPr>
          <w:rFonts w:hint="eastAsia" w:ascii="Times New Roman" w:hAnsi="Times New Roman" w:eastAsia="方正仿宋_GBK" w:cs="方正仿宋_GBK"/>
          <w:spacing w:val="0"/>
          <w:sz w:val="32"/>
          <w:szCs w:val="32"/>
          <w:shd w:val="clear" w:color="auto" w:fill="auto"/>
        </w:rPr>
        <w:t>评估时点以委托评估合同签订的时间为准。评估报告有效期届满的应当重新评估。</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0"/>
        <w:rPr>
          <w:rFonts w:hint="eastAsia" w:ascii="Times New Roman" w:hAnsi="Times New Roman" w:eastAsia="方正仿宋_GBK" w:cs="方正仿宋_GBK"/>
          <w:spacing w:val="-6"/>
          <w:sz w:val="32"/>
          <w:szCs w:val="32"/>
        </w:rPr>
      </w:pPr>
      <w:r>
        <w:rPr>
          <w:rFonts w:hint="eastAsia" w:ascii="Times New Roman" w:hAnsi="Times New Roman" w:eastAsia="方正仿宋_GBK" w:cs="方正仿宋_GBK"/>
          <w:b/>
          <w:spacing w:val="0"/>
          <w:sz w:val="32"/>
          <w:szCs w:val="32"/>
        </w:rPr>
        <w:t>第</w:t>
      </w:r>
      <w:r>
        <w:rPr>
          <w:rFonts w:hint="eastAsia" w:ascii="Times New Roman" w:hAnsi="Times New Roman" w:eastAsia="方正仿宋_GBK" w:cs="方正仿宋_GBK"/>
          <w:b/>
          <w:spacing w:val="0"/>
          <w:sz w:val="32"/>
          <w:szCs w:val="32"/>
          <w:lang w:eastAsia="zh-CN"/>
        </w:rPr>
        <w:t>二十一</w:t>
      </w:r>
      <w:r>
        <w:rPr>
          <w:rFonts w:hint="eastAsia" w:ascii="Times New Roman" w:hAnsi="Times New Roman" w:eastAsia="方正仿宋_GBK" w:cs="方正仿宋_GBK"/>
          <w:b/>
          <w:spacing w:val="0"/>
          <w:sz w:val="32"/>
          <w:szCs w:val="32"/>
        </w:rPr>
        <w:t>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以出让方式取得国有土地使用权的，</w:t>
      </w:r>
      <w:r>
        <w:rPr>
          <w:rFonts w:hint="eastAsia" w:ascii="Times New Roman" w:hAnsi="Times New Roman" w:eastAsia="方正仿宋_GBK" w:cs="方正仿宋_GBK"/>
          <w:spacing w:val="0"/>
          <w:sz w:val="32"/>
          <w:szCs w:val="32"/>
          <w:lang w:eastAsia="zh-CN"/>
        </w:rPr>
        <w:t>应当综合考虑</w:t>
      </w:r>
      <w:r>
        <w:rPr>
          <w:rFonts w:hint="eastAsia" w:ascii="Times New Roman" w:hAnsi="Times New Roman" w:eastAsia="方正仿宋_GBK" w:cs="方正仿宋_GBK"/>
          <w:spacing w:val="0"/>
          <w:sz w:val="32"/>
          <w:szCs w:val="32"/>
        </w:rPr>
        <w:t>土地</w:t>
      </w:r>
      <w:r>
        <w:rPr>
          <w:rFonts w:hint="eastAsia" w:ascii="Times New Roman" w:hAnsi="Times New Roman" w:eastAsia="方正仿宋_GBK" w:cs="方正仿宋_GBK"/>
          <w:spacing w:val="0"/>
          <w:sz w:val="32"/>
          <w:szCs w:val="32"/>
          <w:lang w:eastAsia="zh-CN"/>
        </w:rPr>
        <w:t>位置、原依法批准的规划条件（按土地出让合同和不动</w:t>
      </w:r>
      <w:r>
        <w:rPr>
          <w:rFonts w:hint="eastAsia" w:ascii="Times New Roman" w:hAnsi="Times New Roman" w:eastAsia="方正仿宋_GBK" w:cs="方正仿宋_GBK"/>
          <w:spacing w:val="-6"/>
          <w:sz w:val="32"/>
          <w:szCs w:val="32"/>
          <w:lang w:eastAsia="zh-CN"/>
        </w:rPr>
        <w:t>产权证确定）</w:t>
      </w:r>
      <w:r>
        <w:rPr>
          <w:rFonts w:hint="eastAsia" w:ascii="Times New Roman" w:hAnsi="Times New Roman" w:eastAsia="方正仿宋_GBK" w:cs="方正仿宋_GBK"/>
          <w:spacing w:val="-6"/>
          <w:sz w:val="32"/>
          <w:szCs w:val="32"/>
        </w:rPr>
        <w:t>、土地开发程度和剩余</w:t>
      </w:r>
      <w:r>
        <w:rPr>
          <w:rFonts w:hint="eastAsia" w:ascii="Times New Roman" w:hAnsi="Times New Roman" w:eastAsia="方正仿宋_GBK" w:cs="方正仿宋_GBK"/>
          <w:spacing w:val="-6"/>
          <w:sz w:val="32"/>
          <w:szCs w:val="32"/>
          <w:lang w:eastAsia="zh-CN"/>
        </w:rPr>
        <w:t>土地使用</w:t>
      </w:r>
      <w:r>
        <w:rPr>
          <w:rFonts w:hint="eastAsia" w:ascii="Times New Roman" w:hAnsi="Times New Roman" w:eastAsia="方正仿宋_GBK" w:cs="方正仿宋_GBK"/>
          <w:spacing w:val="-6"/>
          <w:sz w:val="32"/>
          <w:szCs w:val="32"/>
        </w:rPr>
        <w:t>年限</w:t>
      </w:r>
      <w:r>
        <w:rPr>
          <w:rFonts w:hint="eastAsia" w:ascii="Times New Roman" w:hAnsi="Times New Roman" w:eastAsia="方正仿宋_GBK" w:cs="方正仿宋_GBK"/>
          <w:spacing w:val="-6"/>
          <w:sz w:val="32"/>
          <w:szCs w:val="32"/>
          <w:lang w:eastAsia="zh-CN"/>
        </w:rPr>
        <w:t>等因素</w:t>
      </w:r>
      <w:r>
        <w:rPr>
          <w:rFonts w:hint="eastAsia" w:ascii="Times New Roman" w:hAnsi="Times New Roman" w:eastAsia="方正仿宋_GBK" w:cs="方正仿宋_GBK"/>
          <w:spacing w:val="-6"/>
          <w:sz w:val="32"/>
          <w:szCs w:val="32"/>
        </w:rPr>
        <w:t>进行评估。</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0"/>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b/>
          <w:spacing w:val="0"/>
          <w:sz w:val="32"/>
          <w:szCs w:val="32"/>
        </w:rPr>
        <w:t>第</w:t>
      </w:r>
      <w:r>
        <w:rPr>
          <w:rFonts w:hint="eastAsia" w:ascii="Times New Roman" w:hAnsi="Times New Roman" w:eastAsia="方正仿宋_GBK" w:cs="方正仿宋_GBK"/>
          <w:b/>
          <w:spacing w:val="0"/>
          <w:sz w:val="32"/>
          <w:szCs w:val="32"/>
          <w:lang w:eastAsia="zh-CN"/>
        </w:rPr>
        <w:t>二十二</w:t>
      </w:r>
      <w:r>
        <w:rPr>
          <w:rFonts w:hint="eastAsia" w:ascii="Times New Roman" w:hAnsi="Times New Roman" w:eastAsia="方正仿宋_GBK" w:cs="方正仿宋_GBK"/>
          <w:b/>
          <w:spacing w:val="0"/>
          <w:sz w:val="32"/>
          <w:szCs w:val="32"/>
        </w:rPr>
        <w:t>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以划拨方式取得国有土地使用权的，</w:t>
      </w:r>
      <w:r>
        <w:rPr>
          <w:rFonts w:hint="eastAsia" w:ascii="Times New Roman" w:hAnsi="Times New Roman" w:eastAsia="方正仿宋_GBK" w:cs="方正仿宋_GBK"/>
          <w:spacing w:val="0"/>
          <w:sz w:val="32"/>
          <w:szCs w:val="32"/>
          <w:lang w:eastAsia="zh-CN"/>
        </w:rPr>
        <w:t>应当综合考虑</w:t>
      </w:r>
      <w:r>
        <w:rPr>
          <w:rFonts w:hint="eastAsia" w:ascii="Times New Roman" w:hAnsi="Times New Roman" w:eastAsia="方正仿宋_GBK" w:cs="方正仿宋_GBK"/>
          <w:spacing w:val="0"/>
          <w:sz w:val="32"/>
          <w:szCs w:val="32"/>
        </w:rPr>
        <w:t>土地</w:t>
      </w:r>
      <w:r>
        <w:rPr>
          <w:rFonts w:hint="eastAsia" w:ascii="Times New Roman" w:hAnsi="Times New Roman" w:eastAsia="方正仿宋_GBK" w:cs="方正仿宋_GBK"/>
          <w:spacing w:val="0"/>
          <w:sz w:val="32"/>
          <w:szCs w:val="32"/>
          <w:lang w:eastAsia="zh-CN"/>
        </w:rPr>
        <w:t>位置、原依法批准的规划条件（按划拨决定书和不动产权证确定）</w:t>
      </w:r>
      <w:r>
        <w:rPr>
          <w:rFonts w:hint="eastAsia" w:ascii="Times New Roman" w:hAnsi="Times New Roman" w:eastAsia="方正仿宋_GBK" w:cs="方正仿宋_GBK"/>
          <w:spacing w:val="0"/>
          <w:sz w:val="32"/>
          <w:szCs w:val="32"/>
        </w:rPr>
        <w:t>、土地开发程度等因素进行评估。</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hint="eastAsia" w:ascii="Times New Roman" w:hAnsi="Times New Roman" w:eastAsia="方正仿宋_GBK" w:cs="方正仿宋_GBK"/>
          <w:spacing w:val="-6"/>
          <w:sz w:val="32"/>
          <w:szCs w:val="32"/>
        </w:rPr>
      </w:pPr>
      <w:r>
        <w:rPr>
          <w:rFonts w:hint="eastAsia" w:ascii="Times New Roman" w:hAnsi="Times New Roman" w:eastAsia="方正仿宋_GBK" w:cs="方正仿宋_GBK"/>
          <w:b/>
          <w:spacing w:val="0"/>
          <w:sz w:val="32"/>
          <w:szCs w:val="32"/>
        </w:rPr>
        <w:t>第</w:t>
      </w:r>
      <w:r>
        <w:rPr>
          <w:rFonts w:hint="eastAsia" w:ascii="Times New Roman" w:hAnsi="Times New Roman" w:eastAsia="方正仿宋_GBK" w:cs="方正仿宋_GBK"/>
          <w:b/>
          <w:spacing w:val="0"/>
          <w:sz w:val="32"/>
          <w:szCs w:val="32"/>
          <w:lang w:eastAsia="zh-CN"/>
        </w:rPr>
        <w:t>二十三</w:t>
      </w:r>
      <w:r>
        <w:rPr>
          <w:rFonts w:hint="eastAsia" w:ascii="Times New Roman" w:hAnsi="Times New Roman" w:eastAsia="方正仿宋_GBK" w:cs="方正仿宋_GBK"/>
          <w:b/>
          <w:spacing w:val="0"/>
          <w:sz w:val="32"/>
          <w:szCs w:val="32"/>
        </w:rPr>
        <w:t>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构筑物、附着物</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合法建筑物的补偿价格由评</w:t>
      </w:r>
      <w:r>
        <w:rPr>
          <w:rFonts w:hint="eastAsia" w:ascii="Times New Roman" w:hAnsi="Times New Roman" w:eastAsia="方正仿宋_GBK" w:cs="方正仿宋_GBK"/>
          <w:spacing w:val="-6"/>
          <w:sz w:val="32"/>
          <w:szCs w:val="32"/>
        </w:rPr>
        <w:t>估机构采用成本法进行评估，按照重置价格并考虑折旧因素确定。</w:t>
      </w: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eastAsia" w:ascii="Times New Roman" w:hAnsi="Times New Roman" w:eastAsia="方正仿宋_GBK" w:cs="方正仿宋_GBK"/>
          <w:spacing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楷体_GBK" w:hAnsi="方正楷体_GBK" w:eastAsia="方正楷体_GBK" w:cs="方正楷体_GBK"/>
          <w:b w:val="0"/>
          <w:bCs/>
          <w:spacing w:val="0"/>
          <w:sz w:val="32"/>
          <w:szCs w:val="32"/>
        </w:rPr>
      </w:pPr>
      <w:r>
        <w:rPr>
          <w:rFonts w:hint="eastAsia" w:ascii="方正楷体_GBK" w:hAnsi="方正楷体_GBK" w:eastAsia="方正楷体_GBK" w:cs="方正楷体_GBK"/>
          <w:b w:val="0"/>
          <w:bCs/>
          <w:spacing w:val="0"/>
          <w:sz w:val="32"/>
          <w:szCs w:val="32"/>
        </w:rPr>
        <w:t>第</w:t>
      </w:r>
      <w:r>
        <w:rPr>
          <w:rFonts w:hint="eastAsia" w:ascii="方正楷体_GBK" w:hAnsi="方正楷体_GBK" w:eastAsia="方正楷体_GBK" w:cs="方正楷体_GBK"/>
          <w:b w:val="0"/>
          <w:bCs/>
          <w:spacing w:val="0"/>
          <w:sz w:val="32"/>
          <w:szCs w:val="32"/>
          <w:lang w:eastAsia="zh-CN"/>
        </w:rPr>
        <w:t>三</w:t>
      </w:r>
      <w:r>
        <w:rPr>
          <w:rFonts w:hint="eastAsia" w:ascii="方正楷体_GBK" w:hAnsi="方正楷体_GBK" w:eastAsia="方正楷体_GBK" w:cs="方正楷体_GBK"/>
          <w:b w:val="0"/>
          <w:bCs/>
          <w:spacing w:val="0"/>
          <w:sz w:val="32"/>
          <w:szCs w:val="32"/>
        </w:rPr>
        <w:t xml:space="preserve">节 </w:t>
      </w:r>
      <w:r>
        <w:rPr>
          <w:rFonts w:hint="eastAsia" w:ascii="方正楷体_GBK" w:hAnsi="方正楷体_GBK" w:eastAsia="方正楷体_GBK" w:cs="方正楷体_GBK"/>
          <w:b w:val="0"/>
          <w:bCs/>
          <w:spacing w:val="0"/>
          <w:sz w:val="32"/>
          <w:szCs w:val="32"/>
          <w:lang w:val="en-US" w:eastAsia="zh-CN"/>
        </w:rPr>
        <w:t xml:space="preserve"> </w:t>
      </w:r>
      <w:r>
        <w:rPr>
          <w:rFonts w:hint="eastAsia" w:ascii="方正楷体_GBK" w:hAnsi="方正楷体_GBK" w:eastAsia="方正楷体_GBK" w:cs="方正楷体_GBK"/>
          <w:b w:val="0"/>
          <w:bCs/>
          <w:spacing w:val="0"/>
          <w:sz w:val="32"/>
          <w:szCs w:val="32"/>
        </w:rPr>
        <w:t>价格调减</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b/>
          <w:spacing w:val="0"/>
          <w:sz w:val="32"/>
          <w:szCs w:val="32"/>
        </w:rPr>
        <w:t>第</w:t>
      </w:r>
      <w:r>
        <w:rPr>
          <w:rFonts w:hint="eastAsia" w:ascii="Times New Roman" w:hAnsi="Times New Roman" w:eastAsia="方正仿宋_GBK" w:cs="方正仿宋_GBK"/>
          <w:b/>
          <w:spacing w:val="0"/>
          <w:sz w:val="32"/>
          <w:szCs w:val="32"/>
          <w:lang w:eastAsia="zh-CN"/>
        </w:rPr>
        <w:t>二十四</w:t>
      </w:r>
      <w:r>
        <w:rPr>
          <w:rFonts w:hint="eastAsia" w:ascii="Times New Roman" w:hAnsi="Times New Roman" w:eastAsia="方正仿宋_GBK" w:cs="方正仿宋_GBK"/>
          <w:b/>
          <w:spacing w:val="0"/>
          <w:sz w:val="32"/>
          <w:szCs w:val="32"/>
        </w:rPr>
        <w:t>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拟收回、收购土地存在土壤污染的，应当由原土地使用权人负责治理。原土地使用权人不能治理的，可以委托土地储备整治机构实施治理，但土壤污染治理费用应当由土地使用权人承担，在收回、收购</w:t>
      </w:r>
      <w:r>
        <w:rPr>
          <w:rFonts w:hint="eastAsia" w:ascii="Times New Roman" w:hAnsi="Times New Roman" w:eastAsia="方正仿宋_GBK" w:cs="方正仿宋_GBK"/>
          <w:spacing w:val="0"/>
          <w:sz w:val="32"/>
          <w:szCs w:val="32"/>
          <w:lang w:eastAsia="zh-CN"/>
        </w:rPr>
        <w:t>价款</w:t>
      </w:r>
      <w:r>
        <w:rPr>
          <w:rFonts w:hint="eastAsia" w:ascii="Times New Roman" w:hAnsi="Times New Roman" w:eastAsia="方正仿宋_GBK" w:cs="方正仿宋_GBK"/>
          <w:spacing w:val="0"/>
          <w:sz w:val="32"/>
          <w:szCs w:val="32"/>
        </w:rPr>
        <w:t>中单列扣除。</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b/>
          <w:spacing w:val="0"/>
          <w:sz w:val="32"/>
          <w:szCs w:val="32"/>
        </w:rPr>
        <w:t>第</w:t>
      </w:r>
      <w:r>
        <w:rPr>
          <w:rFonts w:hint="eastAsia" w:ascii="Times New Roman" w:hAnsi="Times New Roman" w:eastAsia="方正仿宋_GBK" w:cs="方正仿宋_GBK"/>
          <w:b/>
          <w:spacing w:val="0"/>
          <w:sz w:val="32"/>
          <w:szCs w:val="32"/>
          <w:lang w:eastAsia="zh-CN"/>
        </w:rPr>
        <w:t>二十五</w:t>
      </w:r>
      <w:r>
        <w:rPr>
          <w:rFonts w:hint="eastAsia" w:ascii="Times New Roman" w:hAnsi="Times New Roman" w:eastAsia="方正仿宋_GBK" w:cs="方正仿宋_GBK"/>
          <w:b/>
          <w:spacing w:val="0"/>
          <w:sz w:val="32"/>
          <w:szCs w:val="32"/>
        </w:rPr>
        <w:t>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在土地出让或划拨时享受了地价减免或优惠政策的，应当按以下方式处理：</w:t>
      </w:r>
    </w:p>
    <w:p>
      <w:pPr>
        <w:keepNext w:val="0"/>
        <w:keepLines w:val="0"/>
        <w:pageBreakBefore w:val="0"/>
        <w:widowControl w:val="0"/>
        <w:numPr>
          <w:ilvl w:val="0"/>
          <w:numId w:val="5"/>
        </w:numPr>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未按土地出让合同约定或划拨决定书规定修建学校、道路等配套工程的，应当由规划自然资源行政主管部门委托有资质的工程造价机构，按照正式签订委托合同的时点，根据配套工程类型、建筑面积、单位造价等经济技术指标测算出未建配套工程的成本，加上以原实施配套工程时点的工程造价为基数、以原实施配套工程时点至正式签订委托合同之日为期限计算出的利息，一并在收回</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收购价款中予以扣除。</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（二）出让土地时设置了修建酒店、商业自持或按一定价格回购等限制条件，土地使用权人未按约定履行的，应当由规划自然资源行政主管部门委托有资质的评估机构以委托之日作为评估时点，</w:t>
      </w:r>
      <w:r>
        <w:rPr>
          <w:rFonts w:hint="eastAsia" w:ascii="Times New Roman" w:hAnsi="Times New Roman" w:eastAsia="方正仿宋_GBK" w:cs="方正仿宋_GBK"/>
          <w:spacing w:val="0"/>
          <w:sz w:val="32"/>
          <w:szCs w:val="32"/>
          <w:lang w:eastAsia="zh-CN"/>
        </w:rPr>
        <w:t>按</w:t>
      </w:r>
      <w:r>
        <w:rPr>
          <w:rFonts w:hint="eastAsia" w:ascii="Times New Roman" w:hAnsi="Times New Roman" w:eastAsia="方正仿宋_GBK" w:cs="方正仿宋_GBK"/>
          <w:spacing w:val="0"/>
          <w:sz w:val="32"/>
          <w:szCs w:val="32"/>
        </w:rPr>
        <w:t>有无限制条件下的土地价格</w:t>
      </w:r>
      <w:r>
        <w:rPr>
          <w:rFonts w:hint="eastAsia" w:ascii="Times New Roman" w:hAnsi="Times New Roman" w:eastAsia="方正仿宋_GBK" w:cs="方正仿宋_GBK"/>
          <w:spacing w:val="0"/>
          <w:sz w:val="32"/>
          <w:szCs w:val="32"/>
          <w:lang w:eastAsia="zh-CN"/>
        </w:rPr>
        <w:t>分别进行</w:t>
      </w:r>
      <w:r>
        <w:rPr>
          <w:rFonts w:hint="eastAsia" w:ascii="Times New Roman" w:hAnsi="Times New Roman" w:eastAsia="方正仿宋_GBK" w:cs="方正仿宋_GBK"/>
          <w:spacing w:val="0"/>
          <w:sz w:val="32"/>
          <w:szCs w:val="32"/>
        </w:rPr>
        <w:t>评估，其差值在收回</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收购价款中予以扣除。</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三）工业用地享受了地价优惠政策，但未履行土地出让合同或招商引资有关协议约定的义务，应当由规划自然资源行政主管部门委托有资质的评估机构，以该宗地首次出让合同约定的土地出让时点作为评估期日，以成本逼近法评估该宗工业用地价格与该宗地首次出让合同约定的土地出让价格的差值，并在收回</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收购价款中予以扣除。</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（四）其它享受免交、减免、返还地价和转增资本金等优惠政策的，应当对具体优惠价格进行量化，并在收回</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收购价款中予以扣除。</w:t>
      </w:r>
    </w:p>
    <w:p>
      <w:pPr>
        <w:keepNext w:val="0"/>
        <w:keepLines w:val="0"/>
        <w:pageBreakBefore w:val="0"/>
        <w:widowControl w:val="0"/>
        <w:kinsoku/>
        <w:wordWrap/>
        <w:overflowPunct/>
        <w:topLinePunct w:val="0"/>
        <w:autoSpaceDE/>
        <w:autoSpaceDN/>
        <w:bidi w:val="0"/>
        <w:adjustRightInd/>
        <w:snapToGrid w:val="0"/>
        <w:spacing w:line="594" w:lineRule="exact"/>
        <w:ind w:firstLine="480" w:firstLineChars="150"/>
        <w:textAlignment w:val="auto"/>
        <w:rPr>
          <w:rFonts w:hint="eastAsia" w:ascii="Times New Roman" w:hAnsi="Times New Roman" w:eastAsia="方正仿宋_GBK" w:cs="方正仿宋_GBK"/>
          <w:spacing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黑体_GBK" w:hAnsi="方正黑体_GBK" w:eastAsia="方正黑体_GBK" w:cs="方正黑体_GBK"/>
          <w:b w:val="0"/>
          <w:bCs/>
          <w:spacing w:val="0"/>
          <w:sz w:val="32"/>
          <w:szCs w:val="32"/>
        </w:rPr>
      </w:pPr>
      <w:r>
        <w:rPr>
          <w:rFonts w:hint="eastAsia" w:ascii="方正黑体_GBK" w:hAnsi="方正黑体_GBK" w:eastAsia="方正黑体_GBK" w:cs="方正黑体_GBK"/>
          <w:b w:val="0"/>
          <w:bCs/>
          <w:spacing w:val="0"/>
          <w:sz w:val="32"/>
          <w:szCs w:val="32"/>
        </w:rPr>
        <w:t xml:space="preserve">第四章 </w:t>
      </w:r>
      <w:r>
        <w:rPr>
          <w:rFonts w:hint="eastAsia" w:ascii="方正黑体_GBK" w:hAnsi="方正黑体_GBK" w:eastAsia="方正黑体_GBK" w:cs="方正黑体_GBK"/>
          <w:b w:val="0"/>
          <w:bCs/>
          <w:spacing w:val="0"/>
          <w:sz w:val="32"/>
          <w:szCs w:val="32"/>
          <w:lang w:val="en-US" w:eastAsia="zh-CN"/>
        </w:rPr>
        <w:t xml:space="preserve"> </w:t>
      </w:r>
      <w:r>
        <w:rPr>
          <w:rFonts w:hint="eastAsia" w:ascii="方正黑体_GBK" w:hAnsi="方正黑体_GBK" w:eastAsia="方正黑体_GBK" w:cs="方正黑体_GBK"/>
          <w:b w:val="0"/>
          <w:bCs/>
          <w:spacing w:val="0"/>
          <w:sz w:val="32"/>
          <w:szCs w:val="32"/>
        </w:rPr>
        <w:t>附则</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b/>
          <w:spacing w:val="0"/>
          <w:sz w:val="32"/>
          <w:szCs w:val="32"/>
        </w:rPr>
        <w:t>第</w:t>
      </w:r>
      <w:r>
        <w:rPr>
          <w:rFonts w:hint="eastAsia" w:ascii="Times New Roman" w:hAnsi="Times New Roman" w:eastAsia="方正仿宋_GBK" w:cs="方正仿宋_GBK"/>
          <w:b/>
          <w:spacing w:val="0"/>
          <w:sz w:val="32"/>
          <w:szCs w:val="32"/>
          <w:lang w:eastAsia="zh-CN"/>
        </w:rPr>
        <w:t>二十六</w:t>
      </w:r>
      <w:r>
        <w:rPr>
          <w:rFonts w:hint="eastAsia" w:ascii="Times New Roman" w:hAnsi="Times New Roman" w:eastAsia="方正仿宋_GBK" w:cs="方正仿宋_GBK"/>
          <w:b/>
          <w:spacing w:val="0"/>
          <w:sz w:val="32"/>
          <w:szCs w:val="32"/>
        </w:rPr>
        <w:t>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依据《中华人民共和国土地管理法》第五十八条（一）项规定收回有地上建筑物的国有土地使用权，按国有土地上房屋征收有关规定执行。</w:t>
      </w:r>
    </w:p>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b/>
          <w:spacing w:val="0"/>
          <w:sz w:val="32"/>
          <w:szCs w:val="32"/>
        </w:rPr>
        <w:t>第</w:t>
      </w:r>
      <w:r>
        <w:rPr>
          <w:rFonts w:hint="eastAsia" w:ascii="Times New Roman" w:hAnsi="Times New Roman" w:eastAsia="方正仿宋_GBK" w:cs="方正仿宋_GBK"/>
          <w:b/>
          <w:spacing w:val="0"/>
          <w:sz w:val="32"/>
          <w:szCs w:val="32"/>
          <w:lang w:eastAsia="zh-CN"/>
        </w:rPr>
        <w:t>二十七</w:t>
      </w:r>
      <w:r>
        <w:rPr>
          <w:rFonts w:hint="eastAsia" w:ascii="Times New Roman" w:hAnsi="Times New Roman" w:eastAsia="方正仿宋_GBK" w:cs="方正仿宋_GBK"/>
          <w:b/>
          <w:spacing w:val="0"/>
          <w:sz w:val="32"/>
          <w:szCs w:val="32"/>
        </w:rPr>
        <w:t>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属于闲置土地收回的，按照《闲置土地处置办法》（国土资源部第53号令）的规定执行。但确因非企业自身原因导致土地闲置需要收回的，其补偿价格的确定可以参照本办法执行。</w:t>
      </w:r>
    </w:p>
    <w:p>
      <w:pPr>
        <w:snapToGrid w:val="0"/>
        <w:spacing w:line="600" w:lineRule="exact"/>
        <w:ind w:firstLine="643" w:firstLineChars="200"/>
        <w:jc w:val="left"/>
        <w:outlineLvl w:val="9"/>
        <w:rPr>
          <w:rFonts w:hint="eastAsia"/>
          <w:lang w:val="en-US" w:eastAsia="zh-CN"/>
        </w:rPr>
      </w:pPr>
      <w:r>
        <w:rPr>
          <w:rFonts w:hint="eastAsia" w:ascii="Times New Roman" w:hAnsi="Times New Roman" w:eastAsia="方正仿宋_GBK" w:cs="方正仿宋_GBK"/>
          <w:b/>
          <w:spacing w:val="0"/>
          <w:sz w:val="32"/>
          <w:szCs w:val="32"/>
        </w:rPr>
        <w:t>第</w:t>
      </w:r>
      <w:r>
        <w:rPr>
          <w:rFonts w:hint="eastAsia" w:ascii="Times New Roman" w:hAnsi="Times New Roman" w:eastAsia="方正仿宋_GBK" w:cs="方正仿宋_GBK"/>
          <w:b/>
          <w:spacing w:val="0"/>
          <w:sz w:val="32"/>
          <w:szCs w:val="32"/>
          <w:lang w:eastAsia="zh-CN"/>
        </w:rPr>
        <w:t>二十八</w:t>
      </w:r>
      <w:r>
        <w:rPr>
          <w:rFonts w:hint="eastAsia" w:ascii="Times New Roman" w:hAnsi="Times New Roman" w:eastAsia="方正仿宋_GBK" w:cs="方正仿宋_GBK"/>
          <w:b/>
          <w:spacing w:val="0"/>
          <w:sz w:val="32"/>
          <w:szCs w:val="32"/>
        </w:rPr>
        <w:t>条</w:t>
      </w:r>
      <w:r>
        <w:rPr>
          <w:rFonts w:hint="eastAsia" w:ascii="Times New Roman" w:hAnsi="Times New Roman" w:eastAsia="方正仿宋_GBK" w:cs="方正仿宋_GBK"/>
          <w:b/>
          <w:spacing w:val="0"/>
          <w:sz w:val="32"/>
          <w:szCs w:val="32"/>
          <w:lang w:val="en-US" w:eastAsia="zh-CN"/>
        </w:rPr>
        <w:t xml:space="preserve"> </w:t>
      </w:r>
      <w:r>
        <w:rPr>
          <w:rFonts w:hint="eastAsia" w:ascii="Times New Roman" w:hAnsi="Times New Roman" w:eastAsia="方正仿宋_GBK" w:cs="方正仿宋_GBK"/>
          <w:spacing w:val="0"/>
          <w:sz w:val="32"/>
          <w:szCs w:val="32"/>
        </w:rPr>
        <w:t>本办法自</w:t>
      </w:r>
      <w:r>
        <w:rPr>
          <w:rFonts w:hint="eastAsia" w:ascii="Times New Roman" w:hAnsi="Times New Roman" w:eastAsia="方正仿宋_GBK" w:cs="方正仿宋_GBK"/>
          <w:spacing w:val="0"/>
          <w:sz w:val="32"/>
          <w:szCs w:val="32"/>
          <w:lang w:val="en-US" w:eastAsia="zh-CN"/>
        </w:rPr>
        <w:t>2024</w:t>
      </w:r>
      <w:r>
        <w:rPr>
          <w:rFonts w:hint="eastAsia" w:ascii="Times New Roman" w:hAnsi="Times New Roman" w:eastAsia="方正仿宋_GBK" w:cs="方正仿宋_GBK"/>
          <w:spacing w:val="0"/>
          <w:sz w:val="32"/>
          <w:szCs w:val="32"/>
          <w:lang w:eastAsia="zh-CN"/>
        </w:rPr>
        <w:t>年</w:t>
      </w:r>
      <w:r>
        <w:rPr>
          <w:rFonts w:hint="eastAsia" w:ascii="Times New Roman" w:hAnsi="Times New Roman" w:eastAsia="方正仿宋_GBK" w:cs="方正仿宋_GBK"/>
          <w:spacing w:val="0"/>
          <w:sz w:val="32"/>
          <w:szCs w:val="32"/>
          <w:lang w:val="en-US" w:eastAsia="zh-CN"/>
        </w:rPr>
        <w:t>5月1日</w:t>
      </w:r>
      <w:r>
        <w:rPr>
          <w:rFonts w:hint="eastAsia" w:ascii="Times New Roman" w:hAnsi="Times New Roman" w:eastAsia="方正仿宋_GBK" w:cs="方正仿宋_GBK"/>
          <w:spacing w:val="0"/>
          <w:sz w:val="32"/>
          <w:szCs w:val="32"/>
        </w:rPr>
        <w:t>起施行。原《重庆市规划和自然资源局关于印发</w:t>
      </w:r>
      <w:r>
        <w:rPr>
          <w:rFonts w:hint="eastAsia" w:ascii="Times New Roman" w:hAnsi="Times New Roman" w:eastAsia="方正仿宋_GBK" w:cs="方正仿宋_GBK"/>
          <w:spacing w:val="0"/>
          <w:sz w:val="32"/>
          <w:szCs w:val="32"/>
          <w:lang w:val="en-US" w:eastAsia="zh-CN"/>
        </w:rPr>
        <w:t>&lt;</w:t>
      </w:r>
      <w:r>
        <w:rPr>
          <w:rFonts w:hint="eastAsia" w:ascii="Times New Roman" w:hAnsi="Times New Roman" w:eastAsia="方正仿宋_GBK" w:cs="方正仿宋_GBK"/>
          <w:spacing w:val="0"/>
          <w:kern w:val="2"/>
          <w:sz w:val="32"/>
          <w:szCs w:val="32"/>
        </w:rPr>
        <w:t>重庆市</w:t>
      </w:r>
      <w:r>
        <w:rPr>
          <w:rFonts w:hint="eastAsia" w:ascii="Times New Roman" w:hAnsi="Times New Roman" w:eastAsia="方正仿宋_GBK" w:cs="方正仿宋_GBK"/>
          <w:spacing w:val="0"/>
          <w:kern w:val="2"/>
          <w:sz w:val="32"/>
          <w:szCs w:val="32"/>
          <w:lang w:eastAsia="zh-CN"/>
        </w:rPr>
        <w:t>国有土地使用权收回收购办法</w:t>
      </w:r>
      <w:r>
        <w:rPr>
          <w:rFonts w:hint="eastAsia" w:ascii="Times New Roman" w:hAnsi="Times New Roman" w:eastAsia="方正仿宋_GBK" w:cs="方正仿宋_GBK"/>
          <w:spacing w:val="0"/>
          <w:kern w:val="2"/>
          <w:sz w:val="32"/>
          <w:szCs w:val="32"/>
          <w:lang w:val="en-US" w:eastAsia="zh-CN"/>
        </w:rPr>
        <w:t>&gt;</w:t>
      </w:r>
      <w:r>
        <w:rPr>
          <w:rFonts w:hint="eastAsia" w:ascii="Times New Roman" w:hAnsi="Times New Roman" w:eastAsia="方正仿宋_GBK" w:cs="方正仿宋_GBK"/>
          <w:spacing w:val="0"/>
          <w:sz w:val="32"/>
          <w:szCs w:val="32"/>
        </w:rPr>
        <w:t>的通知》（</w:t>
      </w:r>
      <w:r>
        <w:rPr>
          <w:rFonts w:hint="default" w:ascii="Times New Roman" w:hAnsi="Times New Roman" w:eastAsia="方正仿宋_GBK" w:cs="Times New Roman"/>
          <w:color w:val="auto"/>
          <w:kern w:val="0"/>
          <w:sz w:val="32"/>
          <w:szCs w:val="32"/>
        </w:rPr>
        <w:t>渝规资</w:t>
      </w:r>
      <w:r>
        <w:rPr>
          <w:rFonts w:hint="eastAsia" w:ascii="Times New Roman" w:hAnsi="Times New Roman" w:eastAsia="方正仿宋_GBK" w:cs="Times New Roman"/>
          <w:color w:val="auto"/>
          <w:kern w:val="0"/>
          <w:sz w:val="32"/>
          <w:szCs w:val="32"/>
          <w:lang w:eastAsia="zh-CN"/>
        </w:rPr>
        <w:t>规范</w:t>
      </w:r>
      <w:r>
        <w:rPr>
          <w:rFonts w:hint="default" w:ascii="Times New Roman" w:hAnsi="Times New Roman" w:eastAsia="方正仿宋_GBK" w:cs="Times New Roman"/>
          <w:color w:val="auto"/>
          <w:kern w:val="0"/>
          <w:sz w:val="32"/>
          <w:szCs w:val="32"/>
        </w:rPr>
        <w:t>〔2020〕</w:t>
      </w:r>
      <w:r>
        <w:rPr>
          <w:rFonts w:hint="eastAsia" w:ascii="Times New Roman" w:hAnsi="Times New Roman" w:eastAsia="方正仿宋_GBK" w:cs="Times New Roman"/>
          <w:color w:val="auto"/>
          <w:kern w:val="0"/>
          <w:sz w:val="32"/>
          <w:szCs w:val="32"/>
          <w:lang w:val="en-US" w:eastAsia="zh-CN"/>
        </w:rPr>
        <w:t>15</w:t>
      </w:r>
      <w:r>
        <w:rPr>
          <w:rFonts w:hint="default" w:ascii="Times New Roman" w:hAnsi="Times New Roman" w:eastAsia="方正仿宋_GBK" w:cs="Times New Roman"/>
          <w:color w:val="auto"/>
          <w:kern w:val="0"/>
          <w:sz w:val="32"/>
          <w:szCs w:val="32"/>
        </w:rPr>
        <w:t>号</w:t>
      </w:r>
      <w:r>
        <w:rPr>
          <w:rFonts w:hint="eastAsia" w:ascii="Times New Roman" w:hAnsi="Times New Roman" w:eastAsia="方正仿宋_GBK" w:cs="方正仿宋_GBK"/>
          <w:spacing w:val="0"/>
          <w:sz w:val="32"/>
          <w:szCs w:val="32"/>
        </w:rPr>
        <w:t>）同时废止。</w:t>
      </w:r>
    </w:p>
    <w:p/>
    <w:sectPr>
      <w:headerReference r:id="rId3" w:type="default"/>
      <w:footerReference r:id="rId4" w:type="default"/>
      <w:pgSz w:w="11906" w:h="16838"/>
      <w:pgMar w:top="1962" w:right="1474" w:bottom="1848" w:left="1587" w:header="850" w:footer="992"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6BFEF6AA-7215-477C-BC96-1F78DA004036}"/>
  </w:font>
  <w:font w:name="方正仿宋_GBK">
    <w:panose1 w:val="02000000000000000000"/>
    <w:charset w:val="86"/>
    <w:family w:val="auto"/>
    <w:pitch w:val="default"/>
    <w:sig w:usb0="A00002BF" w:usb1="38CF7CFA" w:usb2="00082016" w:usb3="00000000" w:csb0="00040001" w:csb1="00000000"/>
    <w:embedRegular r:id="rId2" w:fontKey="{3844381C-005B-4675-8016-87039B7ACFDB}"/>
  </w:font>
  <w:font w:name="方正黑体_GBK">
    <w:altName w:val="微软雅黑"/>
    <w:panose1 w:val="03000509000000000000"/>
    <w:charset w:val="86"/>
    <w:family w:val="auto"/>
    <w:pitch w:val="default"/>
    <w:sig w:usb0="00000000" w:usb1="00000000" w:usb2="00000000" w:usb3="00000000" w:csb0="00040000" w:csb1="00000000"/>
    <w:embedRegular r:id="rId3" w:fontKey="{D641D93F-B5D4-4A0D-B622-0D03005B1385}"/>
  </w:font>
  <w:font w:name="方正楷体_GBK">
    <w:altName w:val="微软雅黑"/>
    <w:panose1 w:val="03000509000000000000"/>
    <w:charset w:val="86"/>
    <w:family w:val="auto"/>
    <w:pitch w:val="default"/>
    <w:sig w:usb0="00000000" w:usb1="00000000" w:usb2="00000000" w:usb3="00000000" w:csb0="00040000" w:csb1="00000000"/>
    <w:embedRegular r:id="rId4" w:fontKey="{360B4DD4-93F4-41D5-8577-18651CFA3AFC}"/>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149860</wp:posOffset>
              </wp:positionV>
              <wp:extent cx="5600700" cy="0"/>
              <wp:effectExtent l="0" t="10795" r="0" b="17780"/>
              <wp:wrapNone/>
              <wp:docPr id="3" name="直接箭头连接符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1.4pt;margin-top:11.8pt;height:0pt;width:441pt;z-index:251659264;mso-width-relative:page;mso-height-relative:page;" filled="f" stroked="t" coordsize="21600,21600" o:gfxdata="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PA71QAAAAcBAAAPAAAAAAAAAAEAIAAAACIAAABkcnMv&#10;ZG93bnJldi54bWxQSwECFAAUAAAACACHTuJAXhMq5QYCAAD3AwAADgAAAAAAAAABACAAAAAkAQAA&#10;ZHJzL2Uyb0RvYy54bWxQSwUGAAAAAAYABgBZAQAAnAUAAAAA&#10;">
              <v:fill on="f" focussize="0,0"/>
              <v:stroke weight="1.75pt" color="#5B9BD5" joinstyle="miter"/>
              <v:imagedata o:title=""/>
              <o:lock v:ext="edit" aspectratio="f"/>
            </v:shape>
          </w:pict>
        </mc:Fallback>
      </mc:AlternateContent>
    </w:r>
  </w:p>
  <w:p>
    <w:pPr>
      <w:pStyle w:val="5"/>
      <w:wordWrap/>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2290" cy="889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22290" cy="8890"/>
                      </a:xfrm>
                      <a:prstGeom prst="straightConnector1">
                        <a:avLst/>
                      </a:prstGeom>
                      <a:ln w="22225" cap="flat" cmpd="sng">
                        <a:solidFill>
                          <a:srgbClr val="5B9BD5"/>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0pt;margin-top:54.35pt;height:0.7pt;width:442.7pt;z-index:251661312;mso-width-relative:page;mso-height-relative:page;" filled="f" stroked="t" coordsize="21600,21600" o:gfxdata="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1ZU7bWAAAACAEAAA8AAAAAAAAAAQAgAAAAIgAAAGRy&#10;cy9kb3ducmV2LnhtbFBLAQIUABQAAAAIAIdO4kAPjTcDBwIAAPoDAAAOAAAAAAAAAAEAIAAAACUB&#10;AABkcnMvZTJvRG9jLnhtbFBLBQYAAAAABgAGAFkBAACeBQAAAAA=&#10;">
              <v:fill on="f" focussize="0,0"/>
              <v:stroke weight="1.75pt" color="#5B9BD5" joinstyle="miter"/>
              <v:imagedata o:title=""/>
              <o:lock v:ext="edit" aspectratio="f"/>
            </v:shap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497FB"/>
    <w:multiLevelType w:val="singleLevel"/>
    <w:tmpl w:val="9E0497FB"/>
    <w:lvl w:ilvl="0" w:tentative="0">
      <w:start w:val="1"/>
      <w:numFmt w:val="chineseCounting"/>
      <w:suff w:val="nothing"/>
      <w:lvlText w:val="（%1）"/>
      <w:lvlJc w:val="left"/>
      <w:rPr>
        <w:rFonts w:hint="eastAsia"/>
      </w:rPr>
    </w:lvl>
  </w:abstractNum>
  <w:abstractNum w:abstractNumId="1">
    <w:nsid w:val="B376AC82"/>
    <w:multiLevelType w:val="singleLevel"/>
    <w:tmpl w:val="B376AC82"/>
    <w:lvl w:ilvl="0" w:tentative="0">
      <w:start w:val="2"/>
      <w:numFmt w:val="chineseCounting"/>
      <w:suff w:val="space"/>
      <w:lvlText w:val="第%1章"/>
      <w:lvlJc w:val="left"/>
      <w:rPr>
        <w:rFonts w:hint="eastAsia"/>
      </w:rPr>
    </w:lvl>
  </w:abstractNum>
  <w:abstractNum w:abstractNumId="2">
    <w:nsid w:val="ECA38183"/>
    <w:multiLevelType w:val="singleLevel"/>
    <w:tmpl w:val="ECA38183"/>
    <w:lvl w:ilvl="0" w:tentative="0">
      <w:start w:val="1"/>
      <w:numFmt w:val="chineseCounting"/>
      <w:suff w:val="nothing"/>
      <w:lvlText w:val="（%1）"/>
      <w:lvlJc w:val="left"/>
      <w:rPr>
        <w:rFonts w:hint="eastAsia"/>
      </w:rPr>
    </w:lvl>
  </w:abstractNum>
  <w:abstractNum w:abstractNumId="3">
    <w:nsid w:val="0DA8AFEB"/>
    <w:multiLevelType w:val="singleLevel"/>
    <w:tmpl w:val="0DA8AFEB"/>
    <w:lvl w:ilvl="0" w:tentative="0">
      <w:start w:val="1"/>
      <w:numFmt w:val="chineseCounting"/>
      <w:suff w:val="nothing"/>
      <w:lvlText w:val="（%1）"/>
      <w:lvlJc w:val="left"/>
      <w:rPr>
        <w:rFonts w:hint="eastAsia"/>
      </w:rPr>
    </w:lvl>
  </w:abstractNum>
  <w:abstractNum w:abstractNumId="4">
    <w:nsid w:val="7577A5ED"/>
    <w:multiLevelType w:val="singleLevel"/>
    <w:tmpl w:val="7577A5ED"/>
    <w:lvl w:ilvl="0" w:tentative="0">
      <w:start w:val="1"/>
      <w:numFmt w:val="chineseCounting"/>
      <w:suff w:val="nothing"/>
      <w:lvlText w:val="（%1）"/>
      <w:lvlJc w:val="left"/>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030056CF"/>
    <w:rsid w:val="03735FC7"/>
    <w:rsid w:val="04704DEF"/>
    <w:rsid w:val="059164EA"/>
    <w:rsid w:val="059904C4"/>
    <w:rsid w:val="0698449C"/>
    <w:rsid w:val="09CA7959"/>
    <w:rsid w:val="0A690785"/>
    <w:rsid w:val="0AA3305A"/>
    <w:rsid w:val="0D941D47"/>
    <w:rsid w:val="0DF735FC"/>
    <w:rsid w:val="0E5A5B90"/>
    <w:rsid w:val="0F0C213A"/>
    <w:rsid w:val="13316198"/>
    <w:rsid w:val="139574E1"/>
    <w:rsid w:val="193343D7"/>
    <w:rsid w:val="1D332992"/>
    <w:rsid w:val="1E365B37"/>
    <w:rsid w:val="1E6075C2"/>
    <w:rsid w:val="236320AF"/>
    <w:rsid w:val="24614B5D"/>
    <w:rsid w:val="27AF0F09"/>
    <w:rsid w:val="2C25287C"/>
    <w:rsid w:val="2C281E09"/>
    <w:rsid w:val="2DCC31EA"/>
    <w:rsid w:val="3060373E"/>
    <w:rsid w:val="33A94DB5"/>
    <w:rsid w:val="35C10BB4"/>
    <w:rsid w:val="36AA5DCD"/>
    <w:rsid w:val="384170D9"/>
    <w:rsid w:val="38B04E6E"/>
    <w:rsid w:val="3B32701E"/>
    <w:rsid w:val="44B44933"/>
    <w:rsid w:val="486747D6"/>
    <w:rsid w:val="49A76CE1"/>
    <w:rsid w:val="4D3A0F66"/>
    <w:rsid w:val="51F25BE9"/>
    <w:rsid w:val="51F6526F"/>
    <w:rsid w:val="539A685B"/>
    <w:rsid w:val="54B01761"/>
    <w:rsid w:val="5560756E"/>
    <w:rsid w:val="56250F75"/>
    <w:rsid w:val="5B296E65"/>
    <w:rsid w:val="5B5D0B77"/>
    <w:rsid w:val="5C502240"/>
    <w:rsid w:val="5C6B02C4"/>
    <w:rsid w:val="5CA062DA"/>
    <w:rsid w:val="5F744A34"/>
    <w:rsid w:val="5FAF15E0"/>
    <w:rsid w:val="610C3FE9"/>
    <w:rsid w:val="61D8153A"/>
    <w:rsid w:val="61E15B01"/>
    <w:rsid w:val="621013B4"/>
    <w:rsid w:val="65DE43B2"/>
    <w:rsid w:val="65F10821"/>
    <w:rsid w:val="691E2912"/>
    <w:rsid w:val="6AC00F4B"/>
    <w:rsid w:val="6E944820"/>
    <w:rsid w:val="7C926B81"/>
    <w:rsid w:val="7CE77A2A"/>
    <w:rsid w:val="7D467FFE"/>
    <w:rsid w:val="7D8F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beforeLines="0" w:after="290" w:afterLines="0" w:line="374" w:lineRule="auto"/>
      <w:outlineLvl w:val="3"/>
    </w:pPr>
    <w:rPr>
      <w:rFonts w:ascii="Arial" w:hAnsi="Arial" w:eastAsia="黑体"/>
      <w:b/>
      <w:bCs/>
      <w:snapToGrid/>
      <w:kern w:val="2"/>
      <w:sz w:val="28"/>
      <w:szCs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autoRedefine/>
    <w:qFormat/>
    <w:uiPriority w:val="0"/>
    <w:pPr>
      <w:widowControl w:val="0"/>
      <w:tabs>
        <w:tab w:val="left" w:pos="8280"/>
      </w:tabs>
      <w:spacing w:after="120" w:line="240" w:lineRule="auto"/>
      <w:ind w:firstLine="420" w:firstLineChars="100"/>
      <w:jc w:val="both"/>
    </w:pPr>
    <w:rPr>
      <w:rFonts w:ascii="Calibri" w:hAnsi="Calibri" w:eastAsia="宋体" w:cs="Times New Roman"/>
      <w:snapToGrid w:val="0"/>
      <w:kern w:val="2"/>
      <w:sz w:val="21"/>
      <w:szCs w:val="24"/>
      <w:lang w:val="en-US" w:eastAsia="zh-CN" w:bidi="ar-SA"/>
    </w:rPr>
  </w:style>
  <w:style w:type="paragraph" w:customStyle="1" w:styleId="9">
    <w:name w:val="汇报正文"/>
    <w:basedOn w:val="1"/>
    <w:autoRedefine/>
    <w:qFormat/>
    <w:uiPriority w:val="0"/>
    <w:pPr>
      <w:ind w:firstLine="200" w:firstLineChars="200"/>
    </w:pPr>
    <w:rPr>
      <w:rFonts w:eastAsia="仿宋_GB2312" w:cs="宋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6194</Words>
  <Characters>6220</Characters>
  <Lines>0</Lines>
  <Paragraphs>0</Paragraphs>
  <TotalTime>6</TotalTime>
  <ScaleCrop>false</ScaleCrop>
  <LinksUpToDate>false</LinksUpToDate>
  <CharactersWithSpaces>6308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cp:lastModifiedBy>
  <dcterms:modified xsi:type="dcterms:W3CDTF">2024-03-26T06:54:02Z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90849D775EE1499DAFABCBE41F051DA2_12</vt:lpwstr>
  </property>
</Properties>
</file>