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48CE90">
      <w:pPr>
        <w:ind w:firstLine="880" w:firstLineChars="200"/>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行政处罚基本信息</w:t>
      </w:r>
    </w:p>
    <w:p w14:paraId="2837DCD1">
      <w:pPr>
        <w:ind w:firstLine="560" w:firstLineChars="200"/>
        <w:rPr>
          <w:rFonts w:hint="eastAsia" w:ascii="方正公文黑体" w:hAnsi="方正公文黑体" w:eastAsia="方正公文黑体" w:cs="方正公文黑体"/>
          <w:sz w:val="28"/>
          <w:szCs w:val="28"/>
          <w:lang w:val="en-US" w:eastAsia="zh-CN"/>
        </w:rPr>
      </w:pPr>
    </w:p>
    <w:p w14:paraId="743575D0">
      <w:pPr>
        <w:numPr>
          <w:ilvl w:val="0"/>
          <w:numId w:val="1"/>
        </w:numPr>
        <w:ind w:firstLine="560" w:firstLineChars="200"/>
        <w:rPr>
          <w:rFonts w:hint="eastAsia" w:ascii="方正公文黑体" w:hAnsi="方正公文黑体" w:eastAsia="方正公文黑体" w:cs="方正公文黑体"/>
          <w:sz w:val="28"/>
          <w:szCs w:val="28"/>
          <w:lang w:val="en-US" w:eastAsia="zh-CN"/>
        </w:rPr>
      </w:pPr>
      <w:r>
        <w:rPr>
          <w:rFonts w:hint="eastAsia" w:ascii="方正公文黑体" w:hAnsi="方正公文黑体" w:eastAsia="方正公文黑体" w:cs="方正公文黑体"/>
          <w:sz w:val="28"/>
          <w:szCs w:val="28"/>
          <w:lang w:val="en-US" w:eastAsia="zh-CN"/>
        </w:rPr>
        <w:t>立案查处工作流程</w:t>
      </w:r>
    </w:p>
    <w:p w14:paraId="7D22471F">
      <w:pPr>
        <w:numPr>
          <w:numId w:val="0"/>
        </w:numPr>
        <w:rPr>
          <w:rFonts w:hint="default" w:ascii="方正公文黑体" w:hAnsi="方正公文黑体" w:eastAsia="方正公文黑体" w:cs="方正公文黑体"/>
          <w:sz w:val="28"/>
          <w:szCs w:val="28"/>
          <w:lang w:val="en-US" w:eastAsia="zh-CN"/>
        </w:rPr>
      </w:pPr>
      <w:r>
        <w:rPr>
          <w:rFonts w:hint="eastAsia" w:ascii="方正公文黑体" w:hAnsi="方正公文黑体" w:eastAsia="方正公文黑体" w:cs="方正公文黑体"/>
          <w:sz w:val="28"/>
          <w:szCs w:val="28"/>
          <w:lang w:val="en-US" w:eastAsia="zh-CN"/>
        </w:rPr>
        <w:t xml:space="preserve">     </w:t>
      </w:r>
      <w:bookmarkStart w:id="0" w:name="_GoBack"/>
      <w:bookmarkEnd w:id="0"/>
      <w:r>
        <w:rPr>
          <w:rFonts w:hint="default" w:ascii="方正公文黑体" w:hAnsi="方正公文黑体" w:eastAsia="方正公文黑体" w:cs="方正公文黑体"/>
          <w:sz w:val="28"/>
          <w:szCs w:val="28"/>
          <w:lang w:val="en-US" w:eastAsia="zh-CN"/>
        </w:rPr>
        <w:drawing>
          <wp:inline distT="0" distB="0" distL="114300" distR="114300">
            <wp:extent cx="5254625" cy="6814820"/>
            <wp:effectExtent l="0" t="0" r="3175" b="12700"/>
            <wp:docPr id="1" name="图片 1" descr="立案查处工作流程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立案查处工作流程图_01"/>
                    <pic:cNvPicPr>
                      <a:picLocks noChangeAspect="1"/>
                    </pic:cNvPicPr>
                  </pic:nvPicPr>
                  <pic:blipFill>
                    <a:blip r:embed="rId4"/>
                    <a:stretch>
                      <a:fillRect/>
                    </a:stretch>
                  </pic:blipFill>
                  <pic:spPr>
                    <a:xfrm>
                      <a:off x="0" y="0"/>
                      <a:ext cx="5254625" cy="6814820"/>
                    </a:xfrm>
                    <a:prstGeom prst="rect">
                      <a:avLst/>
                    </a:prstGeom>
                  </pic:spPr>
                </pic:pic>
              </a:graphicData>
            </a:graphic>
          </wp:inline>
        </w:drawing>
      </w:r>
    </w:p>
    <w:p w14:paraId="43E3767F">
      <w:pPr>
        <w:ind w:firstLine="560" w:firstLineChars="200"/>
        <w:rPr>
          <w:rFonts w:hint="eastAsia" w:ascii="方正公文黑体" w:hAnsi="方正公文黑体" w:eastAsia="方正公文黑体" w:cs="方正公文黑体"/>
          <w:sz w:val="28"/>
          <w:szCs w:val="28"/>
          <w:lang w:val="en-US" w:eastAsia="zh-CN"/>
        </w:rPr>
      </w:pPr>
      <w:r>
        <w:rPr>
          <w:rFonts w:hint="eastAsia" w:ascii="方正公文黑体" w:hAnsi="方正公文黑体" w:eastAsia="方正公文黑体" w:cs="方正公文黑体"/>
          <w:sz w:val="28"/>
          <w:szCs w:val="28"/>
          <w:lang w:val="en-US" w:eastAsia="zh-CN"/>
        </w:rPr>
        <w:t>二、行政相对人救济渠道</w:t>
      </w:r>
    </w:p>
    <w:p w14:paraId="28218299">
      <w:pPr>
        <w:numPr>
          <w:ilvl w:val="0"/>
          <w:numId w:val="2"/>
        </w:numPr>
        <w:ind w:firstLine="560" w:firstLineChars="200"/>
        <w:rPr>
          <w:rFonts w:hint="eastAsia" w:ascii="方正仿宋_GBK" w:hAnsi="方正仿宋_GBK" w:eastAsia="方正仿宋_GBK" w:cs="方正仿宋_GBK"/>
          <w:sz w:val="32"/>
          <w:szCs w:val="32"/>
        </w:rPr>
      </w:pPr>
      <w:r>
        <w:rPr>
          <w:rFonts w:hint="eastAsia" w:eastAsia="方正仿宋_GBK"/>
          <w:sz w:val="28"/>
          <w:szCs w:val="28"/>
          <w:lang w:val="en-US" w:eastAsia="zh-CN"/>
        </w:rPr>
        <w:t>收到本部门作出的处罚告知书后，行政相对人享有陈述、申辩和听证的权利。如有进一步陈述申辩意见、要求举行听证，可在收到本部门作出的处罚告知书之日起五个工作日内向本部门提出。</w:t>
      </w:r>
    </w:p>
    <w:p w14:paraId="3AC57789">
      <w:pPr>
        <w:numPr>
          <w:ilvl w:val="0"/>
          <w:numId w:val="2"/>
        </w:numPr>
        <w:ind w:left="0" w:leftChars="0" w:firstLine="560" w:firstLineChars="200"/>
        <w:rPr>
          <w:rFonts w:eastAsia="方正仿宋_GBK"/>
          <w:sz w:val="28"/>
          <w:szCs w:val="28"/>
        </w:rPr>
      </w:pPr>
      <w:r>
        <w:rPr>
          <w:rFonts w:hint="eastAsia" w:eastAsia="方正仿宋_GBK"/>
          <w:sz w:val="28"/>
          <w:szCs w:val="28"/>
          <w:lang w:val="en-US" w:eastAsia="zh-CN"/>
        </w:rPr>
        <w:t>行政相对人对本部门作出的处罚决定不服的，自收到</w:t>
      </w:r>
      <w:r>
        <w:rPr>
          <w:rFonts w:eastAsia="方正仿宋_GBK"/>
          <w:sz w:val="28"/>
          <w:szCs w:val="28"/>
        </w:rPr>
        <w:t>本</w:t>
      </w:r>
      <w:r>
        <w:rPr>
          <w:rFonts w:hint="eastAsia" w:eastAsia="方正仿宋_GBK"/>
          <w:sz w:val="28"/>
          <w:szCs w:val="28"/>
          <w:lang w:val="en-US" w:eastAsia="zh-CN"/>
        </w:rPr>
        <w:t>部门作出的处罚</w:t>
      </w:r>
      <w:r>
        <w:rPr>
          <w:rFonts w:eastAsia="方正仿宋_GBK"/>
          <w:sz w:val="28"/>
          <w:szCs w:val="28"/>
        </w:rPr>
        <w:t>决定书之日起六十日内，可向</w:t>
      </w:r>
      <w:r>
        <w:rPr>
          <w:rFonts w:hint="eastAsia" w:eastAsia="方正仿宋_GBK"/>
          <w:sz w:val="28"/>
          <w:szCs w:val="28"/>
          <w:u w:val="single"/>
          <w:lang w:val="en-US" w:eastAsia="zh-CN"/>
        </w:rPr>
        <w:t>重庆市规划和自然资源局</w:t>
      </w:r>
      <w:r>
        <w:rPr>
          <w:rFonts w:hint="eastAsia" w:eastAsia="方正仿宋_GBK"/>
          <w:sz w:val="28"/>
          <w:szCs w:val="28"/>
          <w:lang w:val="en-US" w:eastAsia="zh-CN"/>
        </w:rPr>
        <w:t>或</w:t>
      </w:r>
      <w:r>
        <w:rPr>
          <w:rFonts w:eastAsia="方正仿宋_GBK"/>
          <w:sz w:val="28"/>
          <w:szCs w:val="28"/>
          <w:u w:val="single"/>
        </w:rPr>
        <w:t>重庆高新技术产业开发区管理委员会</w:t>
      </w:r>
      <w:r>
        <w:rPr>
          <w:rFonts w:eastAsia="方正仿宋_GBK"/>
          <w:sz w:val="28"/>
          <w:szCs w:val="28"/>
        </w:rPr>
        <w:t>申请行政复议，也可以于三个月内直接向</w:t>
      </w:r>
      <w:r>
        <w:rPr>
          <w:rFonts w:eastAsia="方正仿宋_GBK"/>
          <w:sz w:val="28"/>
          <w:szCs w:val="28"/>
          <w:u w:val="single"/>
        </w:rPr>
        <w:t xml:space="preserve"> 九龙坡区人民法院</w:t>
      </w:r>
      <w:r>
        <w:rPr>
          <w:rFonts w:eastAsia="方正仿宋_GBK"/>
          <w:sz w:val="28"/>
          <w:szCs w:val="28"/>
        </w:rPr>
        <w:t>提起诉讼。</w:t>
      </w:r>
      <w:r>
        <w:rPr>
          <w:rFonts w:hint="eastAsia" w:eastAsia="方正仿宋_GBK"/>
          <w:sz w:val="28"/>
          <w:szCs w:val="28"/>
          <w:lang w:val="en-US" w:eastAsia="zh-CN"/>
        </w:rPr>
        <w:t>其中，行政相对人对依据《中华人民共和国土地管理法》作出责令限期拆除处罚决定不服的，自收到</w:t>
      </w:r>
      <w:r>
        <w:rPr>
          <w:rFonts w:eastAsia="方正仿宋_GBK"/>
          <w:sz w:val="28"/>
          <w:szCs w:val="28"/>
        </w:rPr>
        <w:t>本</w:t>
      </w:r>
      <w:r>
        <w:rPr>
          <w:rFonts w:hint="eastAsia" w:eastAsia="方正仿宋_GBK"/>
          <w:sz w:val="28"/>
          <w:szCs w:val="28"/>
          <w:lang w:val="en-US" w:eastAsia="zh-CN"/>
        </w:rPr>
        <w:t>部门作出的处罚</w:t>
      </w:r>
      <w:r>
        <w:rPr>
          <w:rFonts w:eastAsia="方正仿宋_GBK"/>
          <w:sz w:val="28"/>
          <w:szCs w:val="28"/>
        </w:rPr>
        <w:t>决定书之日起</w:t>
      </w:r>
      <w:r>
        <w:rPr>
          <w:rFonts w:hint="eastAsia" w:eastAsia="方正仿宋_GBK"/>
          <w:sz w:val="28"/>
          <w:szCs w:val="28"/>
          <w:lang w:val="en-US" w:eastAsia="zh-CN"/>
        </w:rPr>
        <w:t>十五日</w:t>
      </w:r>
      <w:r>
        <w:rPr>
          <w:rFonts w:eastAsia="方正仿宋_GBK"/>
          <w:sz w:val="28"/>
          <w:szCs w:val="28"/>
        </w:rPr>
        <w:t>内</w:t>
      </w:r>
      <w:r>
        <w:rPr>
          <w:rFonts w:hint="eastAsia" w:eastAsia="方正仿宋_GBK"/>
          <w:sz w:val="28"/>
          <w:szCs w:val="28"/>
          <w:lang w:eastAsia="zh-CN"/>
        </w:rPr>
        <w:t>，</w:t>
      </w:r>
      <w:r>
        <w:rPr>
          <w:rFonts w:eastAsia="方正仿宋_GBK"/>
          <w:sz w:val="28"/>
          <w:szCs w:val="28"/>
        </w:rPr>
        <w:t>向</w:t>
      </w:r>
      <w:r>
        <w:rPr>
          <w:rFonts w:eastAsia="方正仿宋_GBK"/>
          <w:sz w:val="28"/>
          <w:szCs w:val="28"/>
          <w:u w:val="single"/>
        </w:rPr>
        <w:t>九龙坡区人民法院</w:t>
      </w:r>
      <w:r>
        <w:rPr>
          <w:rFonts w:eastAsia="方正仿宋_GBK"/>
          <w:sz w:val="28"/>
          <w:szCs w:val="28"/>
        </w:rPr>
        <w:t>提起诉讼。</w:t>
      </w:r>
    </w:p>
    <w:p w14:paraId="1972DEFE">
      <w:pPr>
        <w:ind w:firstLine="560" w:firstLineChars="200"/>
        <w:rPr>
          <w:rFonts w:hint="eastAsia" w:ascii="方正公文黑体" w:hAnsi="方正公文黑体" w:eastAsia="方正公文黑体" w:cs="方正公文黑体"/>
          <w:sz w:val="28"/>
          <w:szCs w:val="28"/>
          <w:lang w:val="en-US" w:eastAsia="zh-CN"/>
        </w:rPr>
      </w:pPr>
    </w:p>
    <w:p w14:paraId="67B835F6">
      <w:pPr>
        <w:ind w:firstLine="560" w:firstLineChars="200"/>
        <w:rPr>
          <w:rFonts w:hint="eastAsia" w:eastAsia="方正仿宋_GBK"/>
          <w:sz w:val="28"/>
          <w:szCs w:val="28"/>
          <w:lang w:val="en-US" w:eastAsia="zh-CN"/>
        </w:rPr>
      </w:pPr>
    </w:p>
    <w:p w14:paraId="67394AA4">
      <w:pPr>
        <w:rPr>
          <w:rFonts w:hint="default"/>
          <w:lang w:val="en-US" w:eastAsia="zh-CN"/>
        </w:rPr>
      </w:pPr>
    </w:p>
    <w:p w14:paraId="3B50E7AA">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公文黑体">
    <w:panose1 w:val="02000500000000000000"/>
    <w:charset w:val="86"/>
    <w:family w:val="auto"/>
    <w:pitch w:val="default"/>
    <w:sig w:usb0="A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343439"/>
    <w:multiLevelType w:val="singleLevel"/>
    <w:tmpl w:val="20343439"/>
    <w:lvl w:ilvl="0" w:tentative="0">
      <w:start w:val="1"/>
      <w:numFmt w:val="decimal"/>
      <w:lvlText w:val="%1."/>
      <w:lvlJc w:val="left"/>
      <w:pPr>
        <w:tabs>
          <w:tab w:val="left" w:pos="312"/>
        </w:tabs>
      </w:pPr>
    </w:lvl>
  </w:abstractNum>
  <w:abstractNum w:abstractNumId="1">
    <w:nsid w:val="737A2D83"/>
    <w:multiLevelType w:val="singleLevel"/>
    <w:tmpl w:val="737A2D83"/>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27B706E"/>
    <w:rsid w:val="617E2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275</Words>
  <Characters>276</Characters>
  <Lines>0</Lines>
  <Paragraphs>0</Paragraphs>
  <TotalTime>0</TotalTime>
  <ScaleCrop>false</ScaleCrop>
  <LinksUpToDate>false</LinksUpToDate>
  <CharactersWithSpaces>277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2026-03-12T06:38:00Z</dcterms:created>
  <dc:creator>GZBB</dc:creator>
  <cp:lastModifiedBy>鹿鸣</cp:lastModifiedBy>
  <dcterms:modified xsi:type="dcterms:W3CDTF">2026-03-12T06:56:56Z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eyJoZGlkIjoiNTFhZjYyZWJmNGU1NDEyNmJhMDc2ZmE4MTljYmE1NmUiLCJ1c2VySWQiOiI3NDQwMTUwNjUifQ==</vt:lpwstr>
  </property>
  <property fmtid="{D5CDD505-2E9C-101B-9397-08002B2CF9AE}" pid="4" name="ICV">
    <vt:lpwstr>6D78F6EBCDFE4C178E472FE3C8DC9B1F_12</vt:lpwstr>
  </property>
</Properties>
</file>