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方正仿宋_GBK"/>
          <w:b w:val="0"/>
          <w:bCs w:val="0"/>
          <w:sz w:val="36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仿宋_GBK"/>
          <w:b w:val="0"/>
          <w:bCs w:val="0"/>
          <w:sz w:val="36"/>
          <w:szCs w:val="30"/>
          <w:lang w:eastAsia="zh-CN"/>
        </w:rPr>
        <w:t>江北区园、林、草地级别和基准地价成果</w:t>
      </w:r>
      <w:bookmarkEnd w:id="0"/>
    </w:p>
    <w:tbl>
      <w:tblPr>
        <w:tblStyle w:val="6"/>
        <w:tblW w:w="13960" w:type="dxa"/>
        <w:jc w:val="center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76"/>
        <w:gridCol w:w="1449"/>
        <w:gridCol w:w="1589"/>
        <w:gridCol w:w="1545"/>
        <w:gridCol w:w="1853"/>
        <w:gridCol w:w="1776"/>
        <w:gridCol w:w="1725"/>
        <w:gridCol w:w="1488"/>
        <w:gridCol w:w="1559"/>
      </w:tblGrid>
      <w:tr>
        <w:tblPrEx>
          <w:tblLayout w:type="fixed"/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级别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  <w:lang w:val="en-US" w:eastAsia="zh-CN"/>
              </w:rPr>
              <w:t>果园</w:t>
            </w: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基准地价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  <w:lang w:val="en-US" w:eastAsia="zh-CN"/>
              </w:rPr>
              <w:t>其他园地（含茶园）</w:t>
            </w: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基准地价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  <w:lang w:val="en-US" w:eastAsia="zh-CN"/>
              </w:rPr>
              <w:t>乔木林地基准地价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  <w:lang w:val="en-US" w:eastAsia="zh-CN"/>
              </w:rPr>
              <w:t>其他草地基准地价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元/㎡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元/亩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元/㎡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元/亩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元/亩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  <w:t>级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34.03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22686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26.86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17906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30.65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20430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8738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  <w:t>级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27.21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18141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21.89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14590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26.95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17968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11.24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7493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第3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  <w:t>级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21.65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14433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18.46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12304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23.73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15823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1.估价对象：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园地：不含地上物和定着物价值。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林地：含地上物和定着物价值。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草地：不含地上物和定着物价值。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土地权利：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承包经营权。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土地权利年期：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园地30年，林地70年，草地30年。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4.利用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类型：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园地：果园、茶园和其他园地。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林地：乔木林地（主导树种设定为“高大乔木”、龄组设为“成熟林”）。</w:t>
            </w:r>
          </w:p>
          <w:p>
            <w:pPr>
              <w:pStyle w:val="2"/>
              <w:tabs>
                <w:tab w:val="left" w:pos="9586"/>
              </w:tabs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草地：其他草地。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ab/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5.基本设施状况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：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园地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：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按照各级别或均质区基础设施的平均状况确定，道路可以通行，有基本的供水、排水设施。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林地：按照所在区域具有普遍性、适宜性的种植制度下，宗地外道路通达。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草地：按照所在区域具有普遍性、适宜性的种植制度下，宗地外道路通达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。</w:t>
            </w:r>
          </w:p>
          <w:p>
            <w:pPr>
              <w:pStyle w:val="2"/>
              <w:spacing w:after="0" w:line="300" w:lineRule="exact"/>
              <w:ind w:left="0" w:left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6.估价期日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：202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8"/>
              </w:rPr>
              <w:t>年1月1日。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decorative"/>
    <w:pitch w:val="default"/>
    <w:sig w:usb0="E00002FF" w:usb1="42002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69BD"/>
    <w:rsid w:val="0F0B69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2024-11-01T01:15:00Z</dcterms:created>
  <dc:creator>袁野</dc:creator>
  <cp:lastModifiedBy>袁野</cp:lastModifiedBy>
  <dcterms:modified xsi:type="dcterms:W3CDTF">2024-11-01T01:18:21Z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