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right"/>
        <w:rPr>
          <w:rFonts w:ascii="方正仿宋_GBK" w:eastAsia="方正仿宋_GBK" w:hint="eastAsia"/>
          <w:szCs w:val="32"/>
        </w:rPr>
      </w:pPr>
      <w:r>
        <w:rPr>
          <w:rFonts w:ascii="方正小标宋_GBK" w:eastAsia="方正小标宋_GBK" w:hint="eastAsia"/>
          <w:sz w:val="44"/>
          <w:szCs w:val="44"/>
          <w:lang w:val="en-US" w:eastAsia="zh-CN"/>
        </w:rPr>
        <mc:AlternateContent>
          <mc:Choice Requires="wps">
            <w:drawing>
              <wp:anchor distT="0" distB="0" distL="114298" distR="114298" simplePos="0" relativeHeight="15" behindDoc="0" locked="0" layoutInCell="1" hidden="0" allowOverlap="1">
                <wp:simplePos x="0" y="0"/>
                <wp:positionH relativeFrom="column">
                  <wp:posOffset>5057140</wp:posOffset>
                </wp:positionH>
                <wp:positionV relativeFrom="paragraph">
                  <wp:posOffset>-1152525</wp:posOffset>
                </wp:positionV>
                <wp:extent cx="755649" cy="748030"/>
                <wp:effectExtent l="0" t="0" r="0" b="0"/>
                <wp:wrapNone/>
                <wp:docPr id="1" name="文本框 1"/>
                <wp:cNvGraphicFramePr>
                  <a:graphicFrameLocks noChangeAspect="0"/>
                </wp:cNvGraphicFramePr>
                <a:graphic>
                  <a:graphicData uri="http://schemas.microsoft.com/office/word/2010/wordprocessingShape">
                    <wps:wsp>
                      <wps:cNvSpPr/>
                      <wps:spPr>
                        <a:xfrm rot="0">
                          <a:off x="0" y="0"/>
                          <a:ext cx="755649" cy="748030"/>
                        </a:xfrm>
                        <a:prstGeom prst="rect"/>
                        <a:solidFill>
                          <a:srgbClr val="FFFFFF"/>
                        </a:solidFill>
                        <a:ln w="9525" cmpd="sng" cap="flat">
                          <a:noFill/>
                          <a:prstDash val="solid"/>
                          <a:miter/>
                        </a:ln>
                      </wps:spPr>
                      <wps:txbx id="2">
                        <w:txbxContent>
                          <w:p>
                            <w:pPr>
                              <w:spacing w:line="500" w:lineRule="exact"/>
                              <w:rPr>
                                <w:rFonts w:ascii="方正黑体_GBK" w:eastAsia="方正黑体_GBK" w:hint="eastAsia"/>
                              </w:rPr>
                            </w:pPr>
                            <w:r>
                              <w:rPr>
                                <w:rFonts w:ascii="方正黑体_GBK" w:eastAsia="方正黑体_GBK" w:hint="eastAsia"/>
                              </w:rPr>
                              <w:t>A类</w:t>
                            </w:r>
                          </w:p>
                          <w:p>
                            <w:pPr>
                              <w:spacing w:line="500" w:lineRule="exact"/>
                              <w:rPr>
                                <w:rFonts w:ascii="方正黑体_GBK" w:eastAsia="方正黑体_GBK" w:hint="eastAsia"/>
                              </w:rPr>
                            </w:pPr>
                            <w:r>
                              <w:rPr>
                                <w:rFonts w:ascii="方正黑体_GBK" w:eastAsia="方正黑体_GBK" w:hint="eastAsia"/>
                              </w:rPr>
                              <w:t>公开</w:t>
                            </w:r>
                          </w:p>
                        </w:txbxContent>
                      </wps:txbx>
                      <wps:bodyPr vert="horz" wrap="square" lIns="91440" tIns="45720" rIns="91440" bIns="45720" anchor="t" anchorCtr="0" upright="1">
                        <a:noAutofit/>
                      </wps:bodyPr>
                    </wps:wsp>
                  </a:graphicData>
                </a:graphic>
              </wp:anchor>
            </w:drawing>
          </mc:Choice>
          <mc:Fallback>
            <w:pict>
              <v:shape type="#_x0000_t202" id="文本框 3" o:spid="_x0000_s3" fillcolor="#FFFFFF" stroked="f" style="position:absolute;margin-left:398.19998pt;margin-top:-90.75pt;width:59.499992pt;height:58.9pt;z-index:15;mso-position-horizontal:absolute;mso-position-vertical:absolute;mso-wrap-distance-left:8.999863pt;mso-wrap-distance-right:8.999863pt;mso-wrap-style:square;">
                <v:stroke color="#000000"/>
                <v:textbox id="848" inset="2.54mm,1.27mm,2.54mm,1.27mm" o:insetmode="custom" style="layout-flow:horizontal;v-text-anchor:top;">
                  <w:txbxContent>
                    <w:p>
                      <w:pPr>
                        <w:spacing w:line="500" w:lineRule="exact"/>
                        <w:rPr>
                          <w:rFonts w:ascii="方正黑体_GBK" w:eastAsia="方正黑体_GBK" w:hint="eastAsia"/>
                        </w:rPr>
                      </w:pPr>
                      <w:r>
                        <w:rPr>
                          <w:rFonts w:ascii="方正黑体_GBK" w:eastAsia="方正黑体_GBK" w:hint="eastAsia"/>
                        </w:rPr>
                        <w:t>A类</w:t>
                      </w:r>
                    </w:p>
                    <w:p>
                      <w:pPr>
                        <w:spacing w:line="500" w:lineRule="exact"/>
                        <w:rPr>
                          <w:rFonts w:ascii="方正黑体_GBK" w:eastAsia="方正黑体_GBK" w:hint="eastAsia"/>
                        </w:rPr>
                      </w:pPr>
                      <w:r>
                        <w:rPr>
                          <w:rFonts w:ascii="方正黑体_GBK" w:eastAsia="方正黑体_GBK" w:hint="eastAsia"/>
                        </w:rPr>
                        <w:t>公开</w:t>
                      </w:r>
                    </w:p>
                  </w:txbxContent>
                </v:textbox>
              </v:shape>
            </w:pict>
          </mc:Fallback>
        </mc:AlternateContent>
      </w:r>
    </w:p>
    <w:p>
      <w:pPr>
        <w:spacing w:beforeLines="50" w:before="290"/>
        <w:jc w:val="right"/>
        <w:rPr>
          <w:rFonts w:ascii="方正仿宋_GBK" w:eastAsia="方正仿宋_GBK" w:hint="eastAsia"/>
          <w:szCs w:val="32"/>
        </w:rPr>
      </w:pPr>
      <w:r>
        <w:rPr>
          <w:rFonts w:eastAsia="方正仿宋_GBK"/>
          <w:szCs w:val="32"/>
        </w:rPr>
        <mc:AlternateContent>
          <mc:Choice Requires="wps">
            <w:drawing>
              <wp:anchor distT="0" distB="0" distL="114297" distR="114297" simplePos="0" relativeHeight="14" behindDoc="0" locked="0" layoutInCell="1" hidden="0" allowOverlap="1">
                <wp:simplePos x="0" y="0"/>
                <wp:positionH relativeFrom="page">
                  <wp:posOffset>1008380</wp:posOffset>
                </wp:positionH>
                <wp:positionV relativeFrom="margin">
                  <wp:posOffset>439420</wp:posOffset>
                </wp:positionV>
                <wp:extent cx="5615939" cy="0"/>
                <wp:effectExtent l="0" t="0" r="0" b="0"/>
                <wp:wrapNone/>
                <wp:docPr id="4" name="直线 4"/>
                <wp:cNvGraphicFramePr>
                  <a:graphicFrameLocks noChangeAspect="0"/>
                </wp:cNvGraphicFramePr>
                <a:graphic>
                  <a:graphicData uri="http://schemas.microsoft.com/office/word/2010/wordprocessingShape">
                    <wps:wsp>
                      <wps:cNvSpPr/>
                      <wps:spPr>
                        <a:xfrm rot="0">
                          <a:off x="0" y="0"/>
                          <a:ext cx="5615939" cy="0"/>
                        </a:xfrm>
                        <a:prstGeom prst="line"/>
                        <a:solidFill>
                          <a:srgbClr val="FFFFFF"/>
                        </a:solidFill>
                        <a:ln w="57150" cmpd="thickThin"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直线 5" o:spid="_x0000_s5" from="79.4pt,34.6pt" to="521.6pt,34.6pt" fillcolor="#FFFFFF" stroked="t" strokeweight="4.5pt" style="position:absolute;z-index:14;mso-position-horizontal:absolute;mso-position-horizontal-relative:page;mso-position-vertical:absolute;mso-position-vertical-relative:margin;mso-wrap-distance-left:8.99983pt;mso-wrap-distance-right:8.99983pt;">
                <v:stroke linestyle="thickThin" color="#FF0000"/>
              </v:line>
            </w:pict>
          </mc:Fallback>
        </mc:AlternateContent>
      </w:r>
      <w:r>
        <w:rPr>
          <w:rFonts w:eastAsia="方正仿宋_GBK"/>
          <w:szCs w:val="32"/>
        </w:rPr>
        <w:pict>
          <v:shape type="#_x0000_t136" id="艺术字 6" o:spid="_x0000_s6" fillcolor="#FF0000" stroked="t" strokecolor="#FF0000" adj="10800" style="position:absolute;margin-left:79.4pt;margin-top:-28.800001pt;width:442.40002pt;height:57.75pt;z-index:13;mso-position-horizontal:absolute;mso-position-horizontal-relative:page;mso-position-vertical:absolute;mso-position-vertical-relative:margin;mso-wrap-distance-left:8.99983pt;mso-wrap-distance-right:8.99983pt;">
            <v:stroke color="#FF0000"/>
            <v:textpath style="font-family:&quot;方正小标宋_GBK&quot;;v-text-kern:t;" trim="t" fitpath="t" string="重庆市江津区规划和自然资源局"/>
          </v:shape>
        </w:pict>
      </w:r>
      <w:r>
        <w:rPr>
          <w:rFonts w:ascii="方正仿宋_GBK" w:eastAsia="方正仿宋_GBK" w:hint="eastAsia"/>
          <w:szCs w:val="32"/>
        </w:rPr>
        <w:t>江津规资函〔2022〕244号</w:t>
      </w:r>
    </w:p>
    <w:p>
      <w:pPr>
        <w:spacing w:line="560" w:lineRule="exact"/>
        <w:rPr>
          <w:rFonts w:eastAsia="方正仿宋_GBK"/>
          <w:szCs w:val="32"/>
        </w:rPr>
      </w:pPr>
    </w:p>
    <w:p>
      <w:pPr>
        <w:overflowPunct w:val="0"/>
        <w:adjustRightInd w:val="0"/>
        <w:snapToGrid w:val="0"/>
        <w:spacing w:line="560" w:lineRule="exact"/>
        <w:jc w:val="center"/>
        <w:rPr>
          <w:rFonts w:ascii="方正小标宋_GBK" w:eastAsia="方正小标宋_GBK" w:hint="eastAsia"/>
          <w:bCs/>
          <w:sz w:val="36"/>
          <w:szCs w:val="36"/>
        </w:rPr>
      </w:pPr>
    </w:p>
    <w:p>
      <w:pPr>
        <w:snapToGrid w:val="0"/>
        <w:spacing w:line="560" w:lineRule="exact"/>
        <w:jc w:val="center"/>
        <w:rPr>
          <w:rFonts w:ascii="方正小标宋_GBK" w:eastAsia="方正小标宋_GBK" w:hint="eastAsia"/>
          <w:sz w:val="44"/>
          <w:szCs w:val="44"/>
        </w:rPr>
      </w:pPr>
      <w:r>
        <w:rPr>
          <w:rFonts w:ascii="方正小标宋_GBK" w:eastAsia="方正小标宋_GBK" w:hint="eastAsia"/>
          <w:sz w:val="44"/>
          <w:szCs w:val="44"/>
        </w:rPr>
        <w:t>重庆市江津区规划和自然资源局</w:t>
      </w:r>
    </w:p>
    <w:p>
      <w:pPr>
        <w:snapToGrid w:val="0"/>
        <w:spacing w:line="560" w:lineRule="exact"/>
        <w:jc w:val="center"/>
        <w:rPr>
          <w:rFonts w:ascii="方正小标宋_GBK" w:eastAsia="方正小标宋_GBK" w:cs="方正小标宋_GBK" w:hint="eastAsia"/>
          <w:color w:val="000000"/>
          <w:sz w:val="44"/>
          <w:szCs w:val="44"/>
        </w:rPr>
      </w:pPr>
      <w:r>
        <w:rPr>
          <w:rFonts w:ascii="方正小标宋_GBK" w:eastAsia="方正小标宋_GBK" w:cs="方正小标宋_GBK" w:hint="eastAsia"/>
          <w:color w:val="000000"/>
          <w:sz w:val="44"/>
          <w:szCs w:val="44"/>
        </w:rPr>
        <w:t>关于区十八届人</w:t>
      </w:r>
      <w:r>
        <w:rPr>
          <w:rFonts w:ascii="方正小标宋_GBK" w:eastAsia="方正小标宋_GBK" w:cs="方正小标宋_GBK"/>
          <w:color w:val="000000"/>
          <w:sz w:val="44"/>
          <w:szCs w:val="44"/>
        </w:rPr>
        <w:t>代会第</w:t>
      </w:r>
      <w:r>
        <w:rPr>
          <w:rFonts w:ascii="方正小标宋_GBK" w:eastAsia="方正小标宋_GBK" w:cs="方正小标宋_GBK" w:hint="eastAsia"/>
          <w:color w:val="000000"/>
          <w:sz w:val="44"/>
          <w:szCs w:val="44"/>
        </w:rPr>
        <w:t>一次会议</w:t>
      </w:r>
    </w:p>
    <w:p>
      <w:pPr>
        <w:snapToGrid w:val="0"/>
        <w:spacing w:line="560" w:lineRule="exact"/>
        <w:jc w:val="center"/>
        <w:rPr>
          <w:rFonts w:ascii="方正小标宋_GBK" w:eastAsia="方正小标宋_GBK" w:hint="eastAsia"/>
          <w:sz w:val="44"/>
          <w:szCs w:val="44"/>
        </w:rPr>
      </w:pPr>
      <w:r>
        <w:rPr>
          <w:rFonts w:ascii="方正小标宋_GBK" w:eastAsia="方正小标宋_GBK" w:cs="方正小标宋_GBK" w:hint="eastAsia"/>
          <w:color w:val="000000"/>
          <w:sz w:val="44"/>
          <w:szCs w:val="44"/>
        </w:rPr>
        <w:t>第308号建议的回复</w:t>
      </w:r>
    </w:p>
    <w:p>
      <w:pPr>
        <w:snapToGrid w:val="0"/>
        <w:spacing w:line="560" w:lineRule="exact"/>
        <w:jc w:val="center"/>
        <w:rPr>
          <w:rFonts w:ascii="方正小标宋_GBK" w:eastAsia="方正小标宋_GBK" w:hint="eastAsia"/>
          <w:sz w:val="44"/>
          <w:szCs w:val="44"/>
        </w:rPr>
      </w:pPr>
    </w:p>
    <w:p>
      <w:pPr>
        <w:rPr>
          <w:rFonts w:ascii="方正仿宋_GBK" w:eastAsia="方正仿宋_GBK" w:cs="方正仿宋_GBK" w:hint="eastAsia"/>
          <w:color w:val="000000"/>
        </w:rPr>
      </w:pPr>
      <w:r>
        <w:rPr>
          <w:rFonts w:ascii="方正仿宋_GBK" w:eastAsia="方正仿宋_GBK" w:cs="方正仿宋_GBK" w:hint="eastAsia"/>
          <w:color w:val="000000"/>
        </w:rPr>
        <w:t>邹琼惠代表：</w:t>
      </w:r>
    </w:p>
    <w:p>
      <w:pPr>
        <w:ind w:firstLineChars="200" w:firstLine="640"/>
        <w:rPr>
          <w:rFonts w:ascii="方正仿宋_GBK" w:eastAsia="方正仿宋_GBK" w:hint="eastAsia"/>
          <w:color w:val="000000"/>
        </w:rPr>
      </w:pPr>
      <w:r>
        <w:rPr>
          <w:rFonts w:ascii="方正仿宋_GBK" w:eastAsia="方正仿宋_GBK" w:cs="方正仿宋_GBK" w:hint="eastAsia"/>
          <w:color w:val="000000"/>
        </w:rPr>
        <w:t>您好！</w:t>
      </w:r>
    </w:p>
    <w:p>
      <w:pPr>
        <w:ind w:firstLineChars="200" w:firstLine="640"/>
        <w:rPr>
          <w:rFonts w:ascii="方正仿宋_GBK" w:eastAsia="方正仿宋_GBK" w:cs="方正仿宋_GBK" w:hint="eastAsia"/>
          <w:color w:val="000000"/>
        </w:rPr>
      </w:pPr>
      <w:r>
        <w:rPr>
          <w:rFonts w:ascii="方正仿宋_GBK" w:eastAsia="方正仿宋_GBK" w:cs="方正仿宋_GBK" w:hint="eastAsia"/>
          <w:color w:val="000000"/>
        </w:rPr>
        <w:t>您在区第十八届人</w:t>
      </w:r>
      <w:r>
        <w:rPr>
          <w:rFonts w:ascii="方正仿宋_GBK" w:eastAsia="方正仿宋_GBK" w:cs="方正仿宋_GBK"/>
          <w:color w:val="000000"/>
        </w:rPr>
        <w:t>代会第</w:t>
      </w:r>
      <w:r>
        <w:rPr>
          <w:rFonts w:ascii="方正仿宋_GBK" w:eastAsia="方正仿宋_GBK" w:cs="方正仿宋_GBK" w:hint="eastAsia"/>
          <w:color w:val="000000"/>
        </w:rPr>
        <w:t>一次会议上提出的《关于做大做强江津硒玉产业的建议》（第308号）已收悉，您的建议区人大交由我局主办，区文化旅游委、区商务委协办。您提的建议我局高度重视，立即安排专人负责此项工作，并</w:t>
      </w:r>
      <w:r>
        <w:rPr>
          <w:rFonts w:eastAsia="方正仿宋_GBK" w:hint="eastAsia"/>
          <w:szCs w:val="32"/>
        </w:rPr>
        <w:t>同区文化旅游委、区商</w:t>
      </w:r>
      <w:r>
        <w:rPr>
          <w:rFonts w:eastAsia="方正仿宋_GBK" w:hint="eastAsia"/>
          <w:spacing w:val="-8"/>
          <w:szCs w:val="32"/>
        </w:rPr>
        <w:t>务委进行会商，</w:t>
      </w:r>
      <w:r>
        <w:rPr>
          <w:rFonts w:ascii="方正仿宋_GBK" w:eastAsia="方正仿宋_GBK" w:cs="方正仿宋_GBK" w:hint="eastAsia"/>
          <w:color w:val="000000"/>
          <w:spacing w:val="-8"/>
        </w:rPr>
        <w:t>综合两个部门的协办意见，现将相关情况回复如下：</w:t>
      </w:r>
    </w:p>
    <w:p>
      <w:pPr>
        <w:numPr>
          <w:ilvl w:val="0"/>
          <w:numId w:val="1"/>
        </w:numPr>
        <w:spacing w:line="580" w:lineRule="exact"/>
        <w:ind w:left="-64" w:firstLine="640"/>
        <w:rPr>
          <w:rFonts w:ascii="方正黑体_GBK" w:eastAsia="方正黑体_GBK" w:cs="方正仿宋_GBK" w:hint="eastAsia"/>
          <w:bCs/>
          <w:szCs w:val="32"/>
        </w:rPr>
      </w:pPr>
      <w:r>
        <w:rPr>
          <w:rFonts w:ascii="方正黑体_GBK" w:eastAsia="方正黑体_GBK" w:cs="方正仿宋_GBK" w:hint="eastAsia"/>
          <w:bCs/>
          <w:szCs w:val="32"/>
        </w:rPr>
        <w:t>基本情况</w:t>
      </w:r>
    </w:p>
    <w:p>
      <w:pPr>
        <w:spacing w:line="580" w:lineRule="exact"/>
        <w:ind w:firstLineChars="200" w:firstLine="640"/>
        <w:rPr>
          <w:rFonts w:ascii="方正仿宋_GBK" w:eastAsia="方正仿宋_GBK" w:cs="方正仿宋_GBK" w:hint="eastAsia"/>
          <w:b/>
          <w:bCs/>
          <w:szCs w:val="32"/>
        </w:rPr>
      </w:pPr>
      <w:r>
        <w:rPr>
          <w:rFonts w:eastAsia="方正仿宋_GBK"/>
          <w:szCs w:val="32"/>
          <w:lang w:val="en-US" w:eastAsia="zh-CN"/>
        </w:rPr>
        <mc:AlternateContent>
          <mc:Choice Requires="wps">
            <w:drawing>
              <wp:anchor distT="0" distB="0" distL="114297" distR="114297" simplePos="0" relativeHeight="16" behindDoc="0" locked="0" layoutInCell="1" hidden="0" allowOverlap="1">
                <wp:simplePos x="0" y="0"/>
                <wp:positionH relativeFrom="page">
                  <wp:posOffset>1006475</wp:posOffset>
                </wp:positionH>
                <wp:positionV relativeFrom="margin">
                  <wp:posOffset>8112760</wp:posOffset>
                </wp:positionV>
                <wp:extent cx="5615940" cy="0"/>
                <wp:effectExtent l="0" t="0" r="0" b="0"/>
                <wp:wrapNone/>
                <wp:docPr id="7" name="直线 7"/>
                <wp:cNvGraphicFramePr>
                  <a:graphicFrameLocks noChangeAspect="0"/>
                </wp:cNvGraphicFramePr>
                <a:graphic>
                  <a:graphicData uri="http://schemas.microsoft.com/office/word/2010/wordprocessingShape">
                    <wps:wsp>
                      <wps:cNvSpPr/>
                      <wps:spPr>
                        <a:xfrm rot="0">
                          <a:off x="0" y="0"/>
                          <a:ext cx="5615940" cy="0"/>
                        </a:xfrm>
                        <a:prstGeom prst="line"/>
                        <a:solidFill>
                          <a:srgbClr val="FFFFFF"/>
                        </a:solidFill>
                        <a:ln w="57150" cmpd="thickThin" cap="flat">
                          <a:solidFill>
                            <a:srgbClr val="FF0000"/>
                          </a:solidFill>
                          <a:prstDash val="solid"/>
                          <a:miter/>
                        </a:ln>
                      </wps:spPr>
                      <wps:bodyPr vert="horz" wrap="square" lIns="91440" tIns="45720" rIns="91440" bIns="45720" anchor="t" anchorCtr="0" upright="1">
                        <a:noAutofit/>
                      </wps:bodyPr>
                    </wps:wsp>
                  </a:graphicData>
                </a:graphic>
              </wp:anchor>
            </w:drawing>
          </mc:Choice>
          <mc:Fallback>
            <w:pict>
              <v:line type="#_x0000_t20" id="直线 8" o:spid="_x0000_s8" from="79.25pt,638.80005pt" to="521.45pt,638.80005pt" fillcolor="#FFFFFF" stroked="t" strokeweight="4.5pt" style="position:absolute;z-index:16;mso-position-horizontal:absolute;mso-position-horizontal-relative:page;mso-position-vertical:absolute;mso-position-vertical-relative:margin;mso-wrap-distance-left:8.99983pt;mso-wrap-distance-right:8.99983pt;">
                <v:stroke linestyle="thickThin" color="#FF0000"/>
              </v:line>
            </w:pict>
          </mc:Fallback>
        </mc:AlternateContent>
      </w:r>
      <w:r>
        <w:rPr>
          <w:rFonts w:ascii="方正仿宋_GBK" w:eastAsia="方正仿宋_GBK" w:cs="方正仿宋_GBK" w:hint="eastAsia"/>
          <w:szCs w:val="32"/>
        </w:rPr>
        <w:t>江津石英质玉是近年来发现的一种色彩丰富、具有鳞状皮纹的隐晶质石英质籽料，其摩氏硬度、相对密度、折射率等指标均优良，达到宝石光级别，极具鉴赏价值，因初步鉴定其不同程度含硒元素，故暂拟定名为“江津硒玉”。其主要分布在江津区李市至四面山、白沙至塘河、西湖至嘉平一带，主要出露在白垩系上统夹关组地层砾石层及河流中。</w:t>
      </w:r>
    </w:p>
    <w:p>
      <w:pPr>
        <w:spacing w:line="580" w:lineRule="exact"/>
        <w:ind w:firstLineChars="200" w:firstLine="640"/>
        <w:rPr>
          <w:rFonts w:ascii="方正黑体_GBK" w:eastAsia="方正黑体_GBK" w:cs="方正仿宋_GBK" w:hint="eastAsia"/>
          <w:bCs/>
          <w:szCs w:val="32"/>
        </w:rPr>
      </w:pPr>
      <w:r>
        <w:rPr>
          <w:rFonts w:ascii="方正黑体_GBK" w:eastAsia="方正黑体_GBK" w:cs="方正仿宋_GBK" w:hint="eastAsia"/>
          <w:bCs/>
          <w:szCs w:val="32"/>
        </w:rPr>
        <w:t>二、已开展的相关工作</w:t>
      </w:r>
    </w:p>
    <w:p>
      <w:pPr>
        <w:ind w:firstLineChars="200" w:firstLine="640"/>
        <w:rPr>
          <w:rFonts w:ascii="方正楷体_GBK" w:eastAsia="方正楷体_GBK" w:cs="方正楷体_GBK" w:hint="eastAsia"/>
          <w:kern w:val="0"/>
          <w:szCs w:val="32"/>
        </w:rPr>
      </w:pPr>
      <w:r>
        <w:rPr>
          <w:rFonts w:ascii="方正楷体_GBK" w:eastAsia="方正楷体_GBK" w:cs="方正楷体_GBK" w:hint="eastAsia"/>
          <w:kern w:val="0"/>
          <w:szCs w:val="32"/>
        </w:rPr>
        <w:t>（一）江津石英质玉（硒玉）资源勘查。</w:t>
      </w:r>
    </w:p>
    <w:p>
      <w:pPr>
        <w:ind w:firstLineChars="200" w:firstLine="640"/>
        <w:rPr>
          <w:rFonts w:ascii="方正仿宋_GBK" w:eastAsia="方正仿宋_GBK" w:hint="eastAsia"/>
          <w:szCs w:val="32"/>
        </w:rPr>
      </w:pPr>
      <w:r>
        <w:rPr>
          <w:rFonts w:ascii="方正仿宋_GBK" w:eastAsia="方正仿宋_GBK" w:hint="eastAsia"/>
          <w:szCs w:val="32"/>
        </w:rPr>
        <w:t>江津石英质玉主要分布在江津区李市至四面山、白沙至塘河、西湖至嘉平一带，主要出露在白垩系上统夹关组地层砾石层及河流中。经综合研判，拟在重庆地研院原来已开展过的调查评价工作的基础上，避开塘河自然保护区、四面山自然保护区、中山鹭类保护区、骆来山风景名胜区等生态红线，主要选取蔡家镇福德村、中山镇常乐村、四面山镇马家坪村、四屏镇双凤村苏麻湾、四屏镇青堰村等5个区域作为进一步勘查核心。目前，已完</w:t>
      </w:r>
      <w:r>
        <w:rPr>
          <w:rFonts w:ascii="方正仿宋_GBK" w:eastAsia="方正仿宋_GBK" w:hint="eastAsia"/>
          <w:spacing w:val="-8"/>
          <w:szCs w:val="32"/>
        </w:rPr>
        <w:t>成招投标程序，确定重庆地研院为石英质玉资源勘查的作业单位。</w:t>
      </w:r>
    </w:p>
    <w:p>
      <w:pPr>
        <w:numPr>
          <w:ilvl w:val="0"/>
          <w:numId w:val="2"/>
        </w:numPr>
        <w:ind w:left="0" w:firstLineChars="200" w:firstLine="640"/>
        <w:rPr>
          <w:rFonts w:ascii="方正楷体_GBK" w:eastAsia="方正楷体_GBK" w:cs="方正楷体_GBK" w:hint="eastAsia"/>
          <w:kern w:val="0"/>
          <w:szCs w:val="32"/>
        </w:rPr>
      </w:pPr>
      <w:r>
        <w:rPr>
          <w:rFonts w:ascii="方正楷体_GBK" w:eastAsia="方正楷体_GBK" w:cs="方正楷体_GBK" w:hint="eastAsia"/>
          <w:kern w:val="0"/>
          <w:szCs w:val="32"/>
        </w:rPr>
        <w:t>江津石英质玉（硒玉）资源地方标准制定。</w:t>
      </w:r>
    </w:p>
    <w:p>
      <w:pPr>
        <w:ind w:firstLineChars="200" w:firstLine="640"/>
        <w:rPr>
          <w:rFonts w:ascii="方正仿宋_GBK" w:eastAsia="方正仿宋_GBK" w:hint="eastAsia"/>
          <w:szCs w:val="32"/>
        </w:rPr>
      </w:pPr>
      <w:r>
        <w:rPr>
          <w:rFonts w:ascii="方正仿宋_GBK" w:eastAsia="方正仿宋_GBK" w:hint="eastAsia"/>
          <w:szCs w:val="32"/>
        </w:rPr>
        <w:t>根据《重庆市地方标准管理办法》相关规定，制定地方标准的流程，需要经过编制计划立项、标准起草、征求意见、技术审查、批准、编号、发布、报国家标准化行政主管部门备案、公开等环节。现我局已向区财政争取相关工作经费，目前已通过招投标程序，确定重庆地研院为地方标准制定单位。</w:t>
      </w:r>
    </w:p>
    <w:p>
      <w:pPr>
        <w:ind w:firstLineChars="200" w:firstLine="640"/>
        <w:rPr>
          <w:rFonts w:ascii="方正楷体_GBK" w:eastAsia="方正楷体_GBK" w:cs="方正楷体_GBK" w:hint="eastAsia"/>
          <w:kern w:val="0"/>
          <w:szCs w:val="32"/>
        </w:rPr>
      </w:pPr>
      <w:r>
        <w:rPr>
          <w:rFonts w:ascii="方正楷体_GBK" w:eastAsia="方正楷体_GBK" w:cs="方正楷体_GBK" w:hint="eastAsia"/>
          <w:kern w:val="0"/>
          <w:szCs w:val="32"/>
        </w:rPr>
        <w:t>（三）推动建成原产地交易市场。</w:t>
      </w:r>
    </w:p>
    <w:p>
      <w:pPr>
        <w:ind w:firstLineChars="200" w:firstLine="640"/>
        <w:rPr>
          <w:rFonts w:ascii="方正仿宋_GBK" w:eastAsia="方正仿宋_GBK" w:hint="eastAsia"/>
          <w:szCs w:val="32"/>
        </w:rPr>
      </w:pPr>
      <w:r>
        <w:rPr>
          <w:rFonts w:ascii="方正仿宋_GBK" w:eastAsia="方正仿宋_GBK" w:hint="eastAsia"/>
          <w:szCs w:val="32"/>
        </w:rPr>
        <w:t>积极推动建设江津硒玉原产地交易市场，目前由重庆渝熙玉文化创意集团在白沙开辟了3000余平方米改建，集硒玉加工、展示、销售于一体，内设16个商户展销区和80个外展摊位，于今年1月底建成并试营业，4月中旬正式开业。</w:t>
      </w:r>
    </w:p>
    <w:p>
      <w:pPr>
        <w:ind w:firstLineChars="200" w:firstLine="640"/>
        <w:rPr>
          <w:rFonts w:ascii="方正楷体_GBK" w:eastAsia="方正楷体_GBK" w:cs="方正楷体_GBK" w:hint="eastAsia"/>
          <w:kern w:val="0"/>
          <w:szCs w:val="32"/>
        </w:rPr>
      </w:pPr>
      <w:r>
        <w:rPr>
          <w:rFonts w:ascii="方正楷体_GBK" w:eastAsia="方正楷体_GBK" w:cs="方正楷体_GBK" w:hint="eastAsia"/>
          <w:kern w:val="0"/>
          <w:szCs w:val="32"/>
        </w:rPr>
        <w:t>（四）推动建成专卖店。</w:t>
      </w:r>
    </w:p>
    <w:p>
      <w:pPr>
        <w:spacing w:line="540" w:lineRule="exact"/>
        <w:ind w:firstLineChars="200" w:firstLine="640"/>
        <w:rPr>
          <w:rFonts w:ascii="宋体" w:eastAsia="方正仿宋_GBK" w:hAnsi="宋体"/>
          <w:szCs w:val="32"/>
        </w:rPr>
      </w:pPr>
      <w:r>
        <w:rPr>
          <w:rFonts w:ascii="宋体" w:eastAsia="方正仿宋_GBK" w:cs="方正仿宋_GBK" w:hAnsi="宋体" w:hint="eastAsia"/>
          <w:szCs w:val="32"/>
        </w:rPr>
        <w:t>江津硒玉已入驻江津时代广场周六福珠宝城，</w:t>
      </w:r>
      <w:r>
        <w:rPr>
          <w:rFonts w:ascii="宋体" w:eastAsia="方正仿宋_GBK" w:hAnsi="宋体" w:hint="eastAsia"/>
          <w:szCs w:val="32"/>
        </w:rPr>
        <w:t>同时在江津城区（奎星广场、</w:t>
      </w:r>
      <w:r>
        <w:rPr>
          <w:rFonts w:ascii="方正仿宋_GBK" w:eastAsia="方正仿宋_GBK" w:hint="eastAsia"/>
          <w:szCs w:val="32"/>
        </w:rPr>
        <w:t>江津大酒店、滨江路西段、原3539厂门口、小西门）以及白沙镇、中山镇、塘河镇、支坪镇设有9个江津硒玉专卖点，</w:t>
      </w:r>
      <w:r>
        <w:rPr>
          <w:rFonts w:ascii="方正仿宋_GBK" w:eastAsia="方正仿宋_GBK" w:cs="方正仿宋_GBK" w:hint="eastAsia"/>
          <w:szCs w:val="32"/>
        </w:rPr>
        <w:t>津品汇电商平台已上架江津硒玉，各销售点2022年春</w:t>
      </w:r>
      <w:r>
        <w:rPr>
          <w:rFonts w:ascii="方正仿宋_GBK" w:eastAsia="方正仿宋_GBK" w:hint="eastAsia"/>
          <w:szCs w:val="32"/>
        </w:rPr>
        <w:t>节期间江津硒玉交易总额超35万元（均价约2000元/件）。下一步将推动硒玉文化研究会与城区大型酒店、景区酒店、区外重要景点等对接，建设更多硒玉销售专区，展示江津</w:t>
      </w:r>
      <w:r>
        <w:rPr>
          <w:rFonts w:ascii="宋体" w:eastAsia="方正仿宋_GBK" w:hAnsi="宋体" w:hint="eastAsia"/>
          <w:szCs w:val="32"/>
        </w:rPr>
        <w:t>硒玉形象。</w:t>
      </w:r>
    </w:p>
    <w:p>
      <w:pPr>
        <w:ind w:firstLineChars="200" w:firstLine="640"/>
        <w:rPr>
          <w:rFonts w:ascii="方正楷体_GBK" w:eastAsia="方正楷体_GBK" w:cs="方正楷体_GBK" w:hint="eastAsia"/>
          <w:kern w:val="0"/>
          <w:szCs w:val="32"/>
        </w:rPr>
      </w:pPr>
      <w:r>
        <w:rPr>
          <w:rFonts w:ascii="方正楷体_GBK" w:eastAsia="方正楷体_GBK" w:cs="方正楷体_GBK" w:hint="eastAsia"/>
          <w:kern w:val="0"/>
          <w:szCs w:val="32"/>
        </w:rPr>
        <w:t>（五）指导规范交易。</w:t>
      </w:r>
    </w:p>
    <w:p>
      <w:pPr>
        <w:spacing w:line="540" w:lineRule="exact"/>
        <w:ind w:firstLineChars="200" w:firstLine="640"/>
        <w:rPr>
          <w:rFonts w:ascii="宋体" w:eastAsia="方正仿宋_GBK" w:hAnsi="宋体" w:hint="eastAsia"/>
          <w:szCs w:val="32"/>
        </w:rPr>
      </w:pPr>
      <w:r>
        <w:rPr>
          <w:rFonts w:ascii="宋体" w:eastAsia="方正仿宋_GBK" w:hAnsi="宋体" w:hint="eastAsia"/>
          <w:szCs w:val="32"/>
        </w:rPr>
        <w:t>支持鼓励区硒玉文化研究会形成了江津硒玉交易评估指导价格，进一步规范江津硒玉交易价格。引导注册统一商标，目前已注册了“渝熙玉”商标和“江津硒玉”版权商标。</w:t>
      </w:r>
    </w:p>
    <w:p>
      <w:pPr>
        <w:ind w:firstLineChars="200" w:firstLine="640"/>
        <w:rPr>
          <w:rFonts w:ascii="方正楷体_GBK" w:eastAsia="方正楷体_GBK" w:cs="方正楷体_GBK" w:hint="eastAsia"/>
          <w:kern w:val="0"/>
          <w:szCs w:val="32"/>
        </w:rPr>
      </w:pPr>
      <w:r>
        <w:rPr>
          <w:rFonts w:ascii="方正楷体_GBK" w:eastAsia="方正楷体_GBK" w:cs="方正楷体_GBK" w:hint="eastAsia"/>
          <w:kern w:val="0"/>
          <w:szCs w:val="32"/>
        </w:rPr>
        <w:t>（六）推动建设大型市场。</w:t>
      </w:r>
    </w:p>
    <w:p>
      <w:pPr>
        <w:spacing w:line="540" w:lineRule="exact"/>
        <w:ind w:firstLineChars="200" w:firstLine="608"/>
        <w:rPr>
          <w:rFonts w:ascii="宋体" w:eastAsia="方正仿宋_GBK" w:cs="方正仿宋_GBK" w:hAnsi="宋体" w:hint="eastAsia"/>
          <w:spacing w:val="-8"/>
          <w:szCs w:val="32"/>
        </w:rPr>
      </w:pPr>
      <w:r>
        <w:rPr>
          <w:rFonts w:ascii="宋体" w:eastAsia="方正仿宋_GBK" w:cs="方正仿宋_GBK" w:hAnsi="宋体"/>
          <w:spacing w:val="-8"/>
          <w:szCs w:val="32"/>
        </w:rPr>
        <w:t>江津硒玉</w:t>
      </w:r>
      <w:r>
        <w:rPr>
          <w:rFonts w:ascii="宋体" w:eastAsia="方正仿宋_GBK" w:cs="方正仿宋_GBK" w:hAnsi="宋体" w:hint="eastAsia"/>
          <w:spacing w:val="-8"/>
          <w:szCs w:val="32"/>
        </w:rPr>
        <w:t>吸引</w:t>
      </w:r>
      <w:r>
        <w:rPr>
          <w:rFonts w:ascii="宋体" w:eastAsia="方正仿宋_GBK" w:cs="方正仿宋_GBK" w:hAnsi="宋体"/>
          <w:spacing w:val="-8"/>
          <w:szCs w:val="32"/>
        </w:rPr>
        <w:t>了</w:t>
      </w:r>
      <w:r>
        <w:rPr>
          <w:rFonts w:ascii="宋体" w:eastAsia="方正仿宋_GBK" w:cs="方正仿宋_GBK" w:hAnsi="宋体" w:hint="eastAsia"/>
          <w:color w:val="000000"/>
          <w:spacing w:val="-8"/>
          <w:kern w:val="0"/>
          <w:szCs w:val="32"/>
        </w:rPr>
        <w:t>深圳水贝国际珠宝交</w:t>
      </w:r>
      <w:r>
        <w:rPr>
          <w:rFonts w:ascii="方正仿宋_GBK" w:eastAsia="方正仿宋_GBK" w:cs="方正仿宋_GBK" w:hint="eastAsia"/>
          <w:color w:val="000000"/>
          <w:spacing w:val="-8"/>
          <w:kern w:val="0"/>
          <w:szCs w:val="32"/>
        </w:rPr>
        <w:t>易中心</w:t>
      </w:r>
      <w:r>
        <w:rPr>
          <w:rFonts w:ascii="方正仿宋_GBK" w:eastAsia="方正仿宋_GBK" w:cs="方正仿宋_GBK" w:hint="eastAsia"/>
          <w:spacing w:val="-8"/>
          <w:szCs w:val="32"/>
        </w:rPr>
        <w:t>来津建设中国西部珠宝城，该项目已于2021年底启动建设，预计在2025年建成</w:t>
      </w:r>
      <w:r>
        <w:rPr>
          <w:rFonts w:ascii="宋体" w:eastAsia="方正仿宋_GBK" w:cs="方正仿宋_GBK" w:hAnsi="宋体"/>
          <w:spacing w:val="-8"/>
          <w:szCs w:val="32"/>
        </w:rPr>
        <w:t>投用</w:t>
      </w:r>
      <w:r>
        <w:rPr>
          <w:rFonts w:ascii="宋体" w:eastAsia="方正仿宋_GBK" w:cs="方正仿宋_GBK" w:hAnsi="宋体" w:hint="eastAsia"/>
          <w:spacing w:val="-8"/>
          <w:szCs w:val="32"/>
        </w:rPr>
        <w:t>。</w:t>
      </w:r>
    </w:p>
    <w:p>
      <w:pPr>
        <w:ind w:firstLineChars="200" w:firstLine="640"/>
        <w:rPr>
          <w:rFonts w:ascii="方正楷体_GBK" w:eastAsia="方正楷体_GBK" w:cs="方正楷体_GBK" w:hint="eastAsia"/>
          <w:kern w:val="0"/>
          <w:szCs w:val="32"/>
        </w:rPr>
      </w:pPr>
      <w:r>
        <w:rPr>
          <w:rFonts w:ascii="方正楷体_GBK" w:eastAsia="方正楷体_GBK" w:cs="方正楷体_GBK" w:hint="eastAsia"/>
          <w:kern w:val="0"/>
          <w:szCs w:val="32"/>
        </w:rPr>
        <w:t>（七）做好江津硒玉的宣传工作。</w:t>
      </w:r>
    </w:p>
    <w:p>
      <w:pPr>
        <w:spacing w:line="579" w:lineRule="exact"/>
        <w:ind w:firstLineChars="200" w:firstLine="640"/>
        <w:rPr>
          <w:rFonts w:ascii="方正仿宋_GBK" w:eastAsia="方正仿宋_GBK" w:cs="方正仿宋_GBK" w:hint="eastAsia"/>
          <w:szCs w:val="32"/>
        </w:rPr>
      </w:pPr>
      <w:r>
        <w:rPr>
          <w:rFonts w:ascii="方正仿宋_GBK" w:eastAsia="方正仿宋_GBK" w:cs="方正仿宋_GBK" w:hint="eastAsia"/>
          <w:szCs w:val="32"/>
        </w:rPr>
        <w:t>组织江津硒玉参加第十七届中国国际文化产业博览交易会、第七届中国西部旅游产业博览会、第六届重庆文化旅游惠民消费季、2021“重庆好礼”旅游商品（文创产品）大赛等国家、市级文旅展节会赛事，利用“四面山水•人文江津”—江津文旅四川推介会、爱情文化长廊“津彩云梯”网红打卡地开设专柜展台等，对硒玉产品进行了宣传展示展销</w:t>
      </w:r>
    </w:p>
    <w:p>
      <w:pPr>
        <w:ind w:firstLineChars="200" w:firstLine="640"/>
        <w:rPr>
          <w:rFonts w:ascii="方正楷体_GBK" w:eastAsia="方正楷体_GBK" w:cs="方正楷体_GBK" w:hint="eastAsia"/>
          <w:kern w:val="0"/>
          <w:szCs w:val="32"/>
        </w:rPr>
      </w:pPr>
      <w:r>
        <w:rPr>
          <w:rFonts w:ascii="方正楷体_GBK" w:eastAsia="方正楷体_GBK" w:cs="方正楷体_GBK" w:hint="eastAsia"/>
          <w:kern w:val="0"/>
          <w:szCs w:val="32"/>
        </w:rPr>
        <w:t>（八）稳步推进非遗传承申报工作。</w:t>
      </w:r>
    </w:p>
    <w:p>
      <w:pPr>
        <w:spacing w:line="579" w:lineRule="exact"/>
        <w:ind w:firstLineChars="200" w:firstLine="640"/>
        <w:rPr>
          <w:rFonts w:ascii="方正仿宋_GBK" w:eastAsia="方正仿宋_GBK" w:cs="方正仿宋_GBK" w:hint="eastAsia"/>
          <w:szCs w:val="32"/>
        </w:rPr>
      </w:pPr>
      <w:r>
        <w:rPr>
          <w:rFonts w:ascii="方正仿宋_GBK" w:eastAsia="方正仿宋_GBK" w:cs="方正仿宋_GBK" w:hint="eastAsia"/>
          <w:szCs w:val="32"/>
        </w:rPr>
        <w:t>现已将白沙镇综合文化服务中心、先锋镇文化服务中心、几江街道社区文化服务中心增加为第六批区级非遗代表性项目传统实用雕刻技艺的保护单位，目前正在积极推荐江津雕刻大师参与第七批区级代表性传承人的申报工作。</w:t>
      </w:r>
    </w:p>
    <w:p>
      <w:pPr>
        <w:pStyle w:val="26"/>
        <w:spacing w:line="579" w:lineRule="exact"/>
        <w:ind w:leftChars="200" w:left="640"/>
        <w:rPr>
          <w:rFonts w:ascii="方正楷体_GBK" w:eastAsia="方正楷体_GBK" w:cs="方正楷体_GBK" w:hint="eastAsia"/>
          <w:kern w:val="0"/>
          <w:szCs w:val="32"/>
        </w:rPr>
      </w:pPr>
      <w:r>
        <w:rPr>
          <w:rFonts w:ascii="方正楷体_GBK" w:eastAsia="方正楷体_GBK" w:cs="方正楷体_GBK" w:hint="eastAsia"/>
          <w:kern w:val="0"/>
          <w:szCs w:val="32"/>
        </w:rPr>
        <w:t>（九）设立江津硒玉展销专柜工作。</w:t>
      </w:r>
    </w:p>
    <w:p>
      <w:pPr>
        <w:pStyle w:val="26"/>
        <w:spacing w:line="579" w:lineRule="exact"/>
        <w:ind w:left="0" w:firstLineChars="200" w:firstLine="640"/>
        <w:rPr>
          <w:rFonts w:ascii="方正仿宋_GBK" w:eastAsia="方正仿宋_GBK" w:cs="方正仿宋_GBK" w:hint="eastAsia"/>
          <w:szCs w:val="32"/>
        </w:rPr>
      </w:pPr>
      <w:r>
        <w:rPr>
          <w:rFonts w:ascii="方正仿宋_GBK" w:eastAsia="方正仿宋_GBK" w:cs="方正仿宋_GBK" w:hint="eastAsia"/>
          <w:szCs w:val="32"/>
        </w:rPr>
        <w:t>配合做好全区</w:t>
      </w:r>
      <w:r>
        <w:rPr>
          <w:rFonts w:ascii="宋体" w:eastAsia="方正仿宋_GBK" w:cs="方正仿宋_GBK" w:hAnsi="宋体" w:hint="eastAsia"/>
          <w:szCs w:val="32"/>
        </w:rPr>
        <w:t>主要景区景点设立江津硒玉展销专柜工作，</w:t>
      </w:r>
      <w:r>
        <w:rPr>
          <w:rFonts w:ascii="方正仿宋_GBK" w:eastAsia="方正仿宋_GBK" w:cs="方正仿宋_GBK" w:hint="eastAsia"/>
          <w:szCs w:val="32"/>
        </w:rPr>
        <w:t>已完成点位收集反馈，下一步持续配合做好该项工作开展；配合区社科联，指导区硒玉文化研究会、工艺美术品协会、收藏协会等做好文旅产品研发。</w:t>
      </w:r>
    </w:p>
    <w:p>
      <w:pPr>
        <w:spacing w:line="580" w:lineRule="exact"/>
        <w:ind w:firstLineChars="200" w:firstLine="640"/>
        <w:rPr>
          <w:rFonts w:ascii="方正黑体_GBK" w:eastAsia="方正黑体_GBK" w:cs="方正仿宋_GBK" w:hint="eastAsia"/>
          <w:bCs/>
          <w:szCs w:val="32"/>
        </w:rPr>
      </w:pPr>
      <w:r>
        <w:rPr>
          <w:rFonts w:ascii="方正黑体_GBK" w:eastAsia="方正黑体_GBK" w:cs="方正仿宋_GBK" w:hint="eastAsia"/>
          <w:bCs/>
          <w:szCs w:val="32"/>
        </w:rPr>
        <w:t>三、 下一步工作计划</w:t>
      </w:r>
    </w:p>
    <w:p>
      <w:pPr>
        <w:spacing w:line="580" w:lineRule="exact"/>
        <w:ind w:firstLineChars="200" w:firstLine="640"/>
        <w:rPr>
          <w:rFonts w:ascii="方正仿宋_GBK" w:eastAsia="方正仿宋_GBK" w:cs="方正仿宋_GBK" w:hint="eastAsia"/>
          <w:szCs w:val="32"/>
        </w:rPr>
      </w:pPr>
      <w:r>
        <w:rPr>
          <w:rFonts w:ascii="方正楷体_GBK" w:eastAsia="方正楷体_GBK" w:cs="方正楷体_GBK" w:hint="eastAsia"/>
          <w:bCs/>
          <w:kern w:val="0"/>
          <w:szCs w:val="32"/>
        </w:rPr>
        <w:t>一是继续做好资源调查。</w:t>
      </w:r>
      <w:r>
        <w:rPr>
          <w:rFonts w:ascii="方正仿宋_GBK" w:eastAsia="方正仿宋_GBK" w:cs="方正仿宋_GBK" w:hint="eastAsia"/>
          <w:szCs w:val="32"/>
        </w:rPr>
        <w:t>开展江津硒玉矿产资源调查，详细了解江津硒玉的材质、分布和矿藏情况等，做好资源的保护和开发利用。重庆地研院在原来已开展过的调查评价工作的基础上，</w:t>
      </w:r>
      <w:r>
        <w:rPr>
          <w:rFonts w:ascii="方正仿宋_GBK" w:eastAsia="方正仿宋_GBK" w:hint="eastAsia"/>
          <w:szCs w:val="32"/>
        </w:rPr>
        <w:t>针对选取的5个区域，将重点开展石英质玉勘查调查工作，大致查明矿体规模、产状和分布规律，查明玉石和彩石的种类、质量、大致查明矿床开采技术条件，为矿山设计、开采和加工等提供有关资料。</w:t>
      </w:r>
      <w:r>
        <w:rPr>
          <w:rFonts w:ascii="方正仿宋_GBK" w:eastAsia="方正仿宋_GBK" w:cs="方正仿宋_GBK" w:hint="eastAsia"/>
          <w:szCs w:val="32"/>
        </w:rPr>
        <w:t xml:space="preserve"> </w:t>
      </w:r>
    </w:p>
    <w:p>
      <w:pPr>
        <w:spacing w:line="580" w:lineRule="exact"/>
        <w:ind w:firstLineChars="200" w:firstLine="640"/>
        <w:rPr>
          <w:rFonts w:ascii="方正仿宋_GBK" w:eastAsia="方正仿宋_GBK" w:cs="方正仿宋_GBK" w:hint="eastAsia"/>
          <w:szCs w:val="32"/>
        </w:rPr>
      </w:pPr>
      <w:r>
        <w:rPr>
          <w:rFonts w:ascii="方正楷体_GBK" w:eastAsia="方正楷体_GBK" w:cs="方正楷体_GBK" w:hint="eastAsia"/>
          <w:bCs/>
          <w:kern w:val="0"/>
          <w:szCs w:val="32"/>
        </w:rPr>
        <w:t>二是设立交流研究基地。</w:t>
      </w:r>
      <w:r>
        <w:rPr>
          <w:rFonts w:ascii="方正仿宋_GBK" w:eastAsia="方正仿宋_GBK" w:cs="方正仿宋_GBK" w:hint="eastAsia"/>
          <w:szCs w:val="32"/>
        </w:rPr>
        <w:t>在我区中山镇、塘河镇、白沙镇、李市镇、先锋镇等镇街设立江津硒玉文化研究基地，集聚硒玉爱好者、文旅爱好者、当地文人墨客等，常态化开展硒玉设计、雕刻技艺交流、文化沙龙、主题论坛、体验式捡玉等活动，提升群众对江津硒玉的品鉴能力。</w:t>
      </w:r>
    </w:p>
    <w:p>
      <w:pPr>
        <w:spacing w:line="580" w:lineRule="exact"/>
        <w:ind w:firstLineChars="200" w:firstLine="640"/>
        <w:rPr>
          <w:rFonts w:ascii="方正仿宋_GBK" w:eastAsia="方正仿宋_GBK" w:cs="方正仿宋_GBK" w:hint="eastAsia"/>
          <w:szCs w:val="32"/>
        </w:rPr>
      </w:pPr>
      <w:r>
        <w:rPr>
          <w:rFonts w:ascii="方正楷体_GBK" w:eastAsia="方正楷体_GBK" w:cs="方正楷体_GBK" w:hint="eastAsia"/>
          <w:bCs/>
          <w:kern w:val="0"/>
          <w:szCs w:val="32"/>
        </w:rPr>
        <w:t>三是建设非遗传承工作室。</w:t>
      </w:r>
      <w:r>
        <w:rPr>
          <w:rFonts w:ascii="方正仿宋_GBK" w:eastAsia="方正仿宋_GBK" w:cs="方正仿宋_GBK" w:hint="eastAsia"/>
          <w:szCs w:val="32"/>
        </w:rPr>
        <w:t>结合几江母城文化艺术一条街的打造，为跨界玉雕大师叶子祥、中国玉雕大工匠黄杨洪、国家级琥珀雕刻大师潘昭亮等提供非遗传承工作室，用于研究江津硒玉与中国四大名玉的比较优势，从而开展江津硒玉作品设计、创作、技艺培训，借助大师的领衔设计及雕刻技艺，提升江津硒玉的文化内涵及鉴赏价值。</w:t>
      </w:r>
    </w:p>
    <w:p>
      <w:pPr>
        <w:spacing w:line="580" w:lineRule="exact"/>
        <w:ind w:firstLineChars="200" w:firstLine="640"/>
        <w:rPr>
          <w:rFonts w:ascii="方正仿宋_GBK" w:eastAsia="方正仿宋_GBK" w:cs="方正仿宋_GBK" w:hint="eastAsia"/>
          <w:szCs w:val="32"/>
        </w:rPr>
      </w:pPr>
      <w:r>
        <w:rPr>
          <w:rFonts w:ascii="方正楷体_GBK" w:eastAsia="方正楷体_GBK" w:cs="方正楷体_GBK" w:hint="eastAsia"/>
          <w:bCs/>
          <w:kern w:val="0"/>
          <w:szCs w:val="32"/>
        </w:rPr>
        <w:t>四是成立江津硒玉文化产业发展智库。</w:t>
      </w:r>
      <w:r>
        <w:rPr>
          <w:rFonts w:ascii="方正仿宋_GBK" w:eastAsia="方正仿宋_GBK" w:cs="方正仿宋_GBK" w:hint="eastAsia"/>
          <w:szCs w:val="32"/>
        </w:rPr>
        <w:t>邀请知名雕刻大师、非遗传承人、文化大家等，成立江津硒玉文化产业发展智库，纳入区决咨委管理，定期开展高峰论坛，每年开展一次江津硒玉文化产业发展研讨会。</w:t>
      </w:r>
    </w:p>
    <w:p>
      <w:pPr>
        <w:spacing w:line="580" w:lineRule="exact"/>
        <w:rPr>
          <w:rFonts w:ascii="方正仿宋_GBK" w:eastAsia="方正仿宋_GBK" w:cs="方正仿宋_GBK" w:hint="eastAsia"/>
          <w:szCs w:val="32"/>
        </w:rPr>
      </w:pPr>
      <w:r>
        <w:rPr>
          <w:rFonts w:ascii="方正仿宋_GBK" w:eastAsia="方正仿宋_GBK" w:cs="方正仿宋_GBK" w:hint="eastAsia"/>
          <w:b/>
          <w:bCs/>
          <w:szCs w:val="32"/>
        </w:rPr>
        <w:t xml:space="preserve">    </w:t>
      </w:r>
      <w:r>
        <w:rPr>
          <w:rFonts w:ascii="方正楷体_GBK" w:eastAsia="方正楷体_GBK" w:cs="方正楷体_GBK" w:hint="eastAsia"/>
          <w:bCs/>
          <w:kern w:val="0"/>
          <w:szCs w:val="32"/>
        </w:rPr>
        <w:t>五是加强开采管理。</w:t>
      </w:r>
      <w:r>
        <w:rPr>
          <w:rFonts w:ascii="方正仿宋_GBK" w:eastAsia="方正仿宋_GBK" w:cs="方正仿宋_GBK" w:hint="eastAsia"/>
          <w:szCs w:val="32"/>
        </w:rPr>
        <w:t>区各级各部门严格落实河长制、林长制，设置相关标识标志，严禁动用机械乱挖滥采、影响生态、破坏河道，坚决从严打击违法违规开采行为，做好相关安全工作。</w:t>
      </w:r>
    </w:p>
    <w:p>
      <w:pPr>
        <w:spacing w:line="580" w:lineRule="exact"/>
        <w:ind w:firstLineChars="200" w:firstLine="640"/>
        <w:rPr>
          <w:rFonts w:ascii="方正仿宋_GBK" w:eastAsia="方正仿宋_GBK" w:cs="方正仿宋_GBK" w:hint="eastAsia"/>
          <w:szCs w:val="32"/>
        </w:rPr>
      </w:pPr>
      <w:r>
        <w:rPr>
          <w:rFonts w:ascii="方正楷体_GBK" w:eastAsia="方正楷体_GBK" w:cs="方正楷体_GBK" w:hint="eastAsia"/>
          <w:bCs/>
          <w:kern w:val="0"/>
          <w:szCs w:val="32"/>
        </w:rPr>
        <w:t>六是加强产业引导。</w:t>
      </w:r>
      <w:r>
        <w:rPr>
          <w:rFonts w:ascii="方正仿宋_GBK" w:eastAsia="方正仿宋_GBK" w:cs="方正仿宋_GBK" w:hint="eastAsia"/>
          <w:szCs w:val="32"/>
        </w:rPr>
        <w:t>制定地方标准，让江津硒玉分类定级有章可循，为江津硒玉的标准化生产、市场化发展提供坚实的基础。计划利用闲置国有资产场地，或者结合打造几江母城文化艺术一条街，设置江津硒玉文化交流及江津硒玉产品交易、展示市场。</w:t>
      </w:r>
    </w:p>
    <w:p>
      <w:pPr>
        <w:spacing w:line="580" w:lineRule="exact"/>
        <w:ind w:firstLineChars="200" w:firstLine="640"/>
        <w:rPr>
          <w:rFonts w:ascii="方正仿宋_GBK" w:eastAsia="方正仿宋_GBK" w:cs="方正仿宋_GBK" w:hint="eastAsia"/>
          <w:szCs w:val="32"/>
        </w:rPr>
      </w:pPr>
      <w:r>
        <w:rPr>
          <w:rFonts w:ascii="方正楷体_GBK" w:eastAsia="方正楷体_GBK" w:cs="方正楷体_GBK" w:hint="eastAsia"/>
          <w:bCs/>
          <w:kern w:val="0"/>
          <w:szCs w:val="32"/>
        </w:rPr>
        <w:t>七是加强行业自律。</w:t>
      </w:r>
      <w:r>
        <w:rPr>
          <w:rFonts w:ascii="方正仿宋_GBK" w:eastAsia="方正仿宋_GBK" w:cs="方正仿宋_GBK" w:hint="eastAsia"/>
          <w:szCs w:val="32"/>
        </w:rPr>
        <w:t>注册统一商标，合理定价，积极申报“江津硒玉”地理标志商标、地理标志保护产品，全力打造“江津硒玉”区域公用品牌，建立江津硒玉行业规则、定价规范等规章制度，规范市场秩序，对于要求进入市场交易的硒玉产品，原则上要求出具权威机构认证的珠宝玉石首饰鉴定证书，严格做好一物一码一证，实现商品可追溯，确保江津硒玉产品品质。</w:t>
      </w:r>
    </w:p>
    <w:p>
      <w:pPr>
        <w:spacing w:line="580" w:lineRule="exact"/>
        <w:ind w:firstLineChars="200" w:firstLine="640"/>
        <w:rPr>
          <w:rFonts w:ascii="方正仿宋_GBK" w:eastAsia="方正仿宋_GBK" w:cs="方正仿宋_GBK" w:hint="eastAsia"/>
          <w:szCs w:val="32"/>
        </w:rPr>
      </w:pPr>
      <w:r>
        <w:rPr>
          <w:rFonts w:ascii="方正楷体_GBK" w:eastAsia="方正楷体_GBK" w:cs="方正楷体_GBK" w:hint="eastAsia"/>
          <w:bCs/>
          <w:kern w:val="0"/>
          <w:szCs w:val="32"/>
        </w:rPr>
        <w:t>八是加大推广。</w:t>
      </w:r>
      <w:r>
        <w:rPr>
          <w:rFonts w:ascii="方正仿宋_GBK" w:eastAsia="方正仿宋_GBK" w:cs="方正仿宋_GBK" w:hint="eastAsia"/>
          <w:szCs w:val="32"/>
        </w:rPr>
        <w:t>采取线上线下两类平台加大展销，积极参与各类商品展示展销会、富硒产业发展大会、文旅推介会等系列会展活动，组织举办“国家、市级、区级”三级赛事，提升江津硒玉知名度，做好媒体宣传，打造文旅“必购”“必送”商品。</w:t>
      </w:r>
    </w:p>
    <w:p>
      <w:pPr>
        <w:spacing w:line="580" w:lineRule="exact"/>
        <w:ind w:firstLineChars="200" w:firstLine="640"/>
        <w:rPr>
          <w:rFonts w:ascii="方正仿宋_GBK" w:eastAsia="方正仿宋_GBK" w:cs="方正仿宋_GBK" w:hint="eastAsia"/>
          <w:szCs w:val="32"/>
        </w:rPr>
      </w:pPr>
      <w:r>
        <w:rPr>
          <w:rFonts w:ascii="方正楷体_GBK" w:eastAsia="方正楷体_GBK" w:cs="方正楷体_GBK" w:hint="eastAsia"/>
          <w:bCs/>
          <w:kern w:val="0"/>
          <w:szCs w:val="32"/>
        </w:rPr>
        <w:t>九是培养人才。</w:t>
      </w:r>
      <w:r>
        <w:rPr>
          <w:rFonts w:ascii="方正仿宋_GBK" w:eastAsia="方正仿宋_GBK" w:cs="方正仿宋_GBK" w:hint="eastAsia"/>
          <w:szCs w:val="32"/>
        </w:rPr>
        <w:t>在重庆工商学校新增宝石雕刻及检测专业，常态化开展硒玉雕刻、电商营销、宣传推广等短期技能培训，按照请进来走出去的思路，不断加强交流学习，提升人才素质，为硒玉文化的发展提供持续的人才保障，解决人才紧缺的现象。</w:t>
      </w:r>
    </w:p>
    <w:p>
      <w:pPr>
        <w:ind w:firstLineChars="200" w:firstLine="640"/>
        <w:rPr>
          <w:rFonts w:eastAsia="方正仿宋_GBK" w:hint="eastAsia"/>
        </w:rPr>
      </w:pPr>
      <w:r>
        <w:rPr>
          <w:rFonts w:ascii="方正楷体_GBK" w:eastAsia="方正楷体_GBK" w:cs="方正楷体_GBK" w:hint="eastAsia"/>
          <w:bCs/>
          <w:kern w:val="0"/>
          <w:szCs w:val="32"/>
        </w:rPr>
        <w:t>十是加快推进制订地方标准。</w:t>
      </w:r>
      <w:r>
        <w:rPr>
          <w:rFonts w:ascii="方正仿宋_GBK" w:eastAsia="方正仿宋_GBK" w:hint="eastAsia"/>
          <w:szCs w:val="32"/>
        </w:rPr>
        <w:t>目前，重庆地研院正在开展地</w:t>
      </w:r>
      <w:r>
        <w:rPr>
          <w:rFonts w:ascii="方正仿宋_GBK" w:eastAsia="方正仿宋_GBK" w:hint="eastAsia"/>
          <w:spacing w:val="-8"/>
          <w:szCs w:val="32"/>
        </w:rPr>
        <w:t>方标准制订的立项工作，预计一年内可完成地方标准的发布和施行。</w:t>
      </w:r>
    </w:p>
    <w:p>
      <w:pPr>
        <w:overflowPunct w:val="0"/>
        <w:ind w:firstLineChars="200" w:firstLine="640"/>
        <w:rPr>
          <w:rFonts w:ascii="方正仿宋_GBK" w:eastAsia="方正仿宋_GBK" w:hint="eastAsia"/>
          <w:szCs w:val="32"/>
        </w:rPr>
      </w:pPr>
      <w:r>
        <w:rPr>
          <w:rFonts w:ascii="方正仿宋_GBK" w:eastAsia="方正仿宋_GBK" w:hint="eastAsia"/>
          <w:szCs w:val="32"/>
        </w:rPr>
        <w:t>再次感谢您对江津区规划自然资源的关心！对以上回复，</w:t>
      </w:r>
      <w:r>
        <w:rPr>
          <w:rFonts w:ascii="方正仿宋_GBK" w:eastAsia="方正仿宋_GBK" w:hint="eastAsia"/>
          <w:spacing w:val="-8"/>
          <w:szCs w:val="32"/>
        </w:rPr>
        <w:t>您有什么意见或建议，请及时告知我们，以便我们进一步改进工作。</w:t>
      </w:r>
    </w:p>
    <w:p>
      <w:pPr>
        <w:ind w:firstLineChars="250" w:firstLine="800"/>
        <w:contextualSpacing/>
        <w:rPr>
          <w:rFonts w:ascii="方正仿宋_GBK" w:eastAsia="方正仿宋_GBK" w:hint="eastAsia"/>
          <w:szCs w:val="32"/>
        </w:rPr>
      </w:pPr>
    </w:p>
    <w:p>
      <w:pPr>
        <w:ind w:firstLineChars="250" w:firstLine="800"/>
        <w:contextualSpacing/>
        <w:jc w:val="right"/>
        <w:rPr>
          <w:rFonts w:ascii="方正仿宋_GBK" w:eastAsia="方正仿宋_GBK" w:hint="eastAsia"/>
          <w:szCs w:val="32"/>
        </w:rPr>
      </w:pPr>
      <w:r>
        <w:rPr>
          <w:rFonts w:ascii="方正仿宋_GBK" w:eastAsia="方正仿宋_GBK" w:hint="eastAsia"/>
          <w:szCs w:val="32"/>
        </w:rPr>
        <w:t>重庆市江津区规划和自然资源局</w:t>
      </w:r>
    </w:p>
    <w:p>
      <w:pPr>
        <w:rPr>
          <w:rFonts w:ascii="方正仿宋_GBK" w:eastAsia="方正仿宋_GBK" w:hint="eastAsia"/>
          <w:szCs w:val="32"/>
        </w:rPr>
      </w:pPr>
      <w:r>
        <w:rPr>
          <w:rFonts w:ascii="方正仿宋_GBK" w:eastAsia="方正仿宋_GBK" w:hint="eastAsia"/>
          <w:szCs w:val="32"/>
        </w:rPr>
        <w:t xml:space="preserve">                                   2022年5月6日</w:t>
      </w:r>
    </w:p>
    <w:p>
      <w:pPr>
        <w:ind w:firstLineChars="200" w:firstLine="640"/>
        <w:rPr>
          <w:rFonts w:ascii="方正仿宋_GBK" w:eastAsia="方正仿宋_GBK" w:hint="eastAsia"/>
          <w:szCs w:val="32"/>
        </w:rPr>
      </w:pPr>
      <w:r>
        <w:rPr>
          <w:rFonts w:ascii="方正仿宋_GBK" w:eastAsia="方正仿宋_GBK" w:hint="eastAsia"/>
          <w:szCs w:val="32"/>
        </w:rPr>
        <w:t>（联系人：</w:t>
      </w:r>
      <w:r>
        <w:rPr>
          <w:rFonts w:ascii="方正仿宋_GBK" w:eastAsia="方正仿宋_GBK" w:cs="方正仿宋_GBK" w:hint="eastAsia"/>
        </w:rPr>
        <w:t>许瑶；联系电话：</w:t>
      </w:r>
      <w:r>
        <w:rPr>
          <w:rFonts w:ascii="方正仿宋_GBK" w:eastAsia="方正仿宋_GBK" w:cs="方正仿宋_GBK" w:hint="eastAsia"/>
          <w:color w:val="000000"/>
        </w:rPr>
        <w:t>13983777736</w:t>
      </w:r>
      <w:r>
        <w:rPr>
          <w:rFonts w:ascii="方正仿宋_GBK" w:eastAsia="方正仿宋_GBK" w:hint="eastAsia"/>
          <w:szCs w:val="32"/>
        </w:rPr>
        <w:t>）</w:t>
      </w:r>
    </w:p>
    <w:p>
      <w:pPr>
        <w:spacing w:line="800" w:lineRule="exact"/>
        <w:ind w:firstLineChars="200" w:firstLine="640"/>
        <w:rPr>
          <w:rFonts w:ascii="方正仿宋_GBK" w:eastAsia="方正仿宋_GBK" w:hint="eastAsia"/>
          <w:szCs w:val="32"/>
        </w:rPr>
      </w:pPr>
    </w:p>
    <w:p>
      <w:pPr>
        <w:spacing w:line="610" w:lineRule="exact"/>
        <w:ind w:firstLineChars="200" w:firstLine="640"/>
        <w:rPr>
          <w:rFonts w:ascii="方正仿宋_GBK" w:eastAsia="方正仿宋_GBK" w:hint="eastAsia"/>
        </w:rPr>
      </w:pPr>
      <w:r>
        <w:rPr>
          <w:rFonts w:ascii="方正仿宋_GBK" w:eastAsia="方正仿宋_GBK" w:hint="eastAsia"/>
          <w:szCs w:val="32"/>
        </w:rPr>
        <w:t>抄送：区政府督查室、区人大常委会人事代表工委。</w:t>
      </w:r>
    </w:p>
    <w:sectPr>
      <w:headerReference w:type="default" r:id="rId2"/>
      <w:headerReference w:type="even" r:id="rId3"/>
      <w:headerReference w:type="first" r:id="rId4"/>
      <w:footerReference w:type="default" r:id="rId5"/>
      <w:footerReference w:type="even" r:id="rId6"/>
      <w:pgSz w:w="11906" w:h="16838"/>
      <w:pgMar w:top="2098" w:right="1474" w:bottom="1985" w:left="1588" w:header="851" w:footer="1474" w:gutter="0"/>
      <w:titlePg/>
      <w:docGrid w:type="lines" w:linePitch="579"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方正楷体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
    <w:altName w:val="黑体"/>
    <w:panose1 w:val="00000000000000000000"/>
    <w:charset w:val="86"/>
    <w:family w:val="script"/>
    <w:pitch w:val="variable"/>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variable"/>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ind w:left="360" w:right="140"/>
      <w:jc w:val="right"/>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eastAsia="zh-CN"/>
      </w:rPr>
      <w:t>5</w:t>
    </w:r>
    <w:r>
      <w:rPr>
        <w:sz w:val="28"/>
        <w:szCs w:val="28"/>
      </w:rPr>
      <w:fldChar w:fldCharType="end"/>
    </w:r>
    <w:r>
      <w:rPr>
        <w:rFonts w:hint="eastAsia"/>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eastAsia="zh-CN"/>
      </w:rPr>
      <w:t>6</w:t>
    </w:r>
    <w:r>
      <w:rPr>
        <w:sz w:val="28"/>
        <w:szCs w:val="28"/>
      </w:rPr>
      <w:fldChar w:fldCharType="end"/>
    </w:r>
    <w:r>
      <w:rPr>
        <w:rFonts w:hint="eastAsia"/>
        <w:sz w:val="28"/>
        <w:szCs w:val="28"/>
      </w:rPr>
      <w:t xml:space="preserve"> —</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5"/>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5"/>
      <w:pBdr>
        <w:bottom w:val="none" w:sz="0" w:space="0" w:color="auto"/>
      </w:pBdr>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5"/>
      <w:pBdr>
        <w:bottom w:val="none" w:sz="0" w:space="0" w:color="auto"/>
      </w:pBdr>
      <w:tabs>
        <w:tab w:val="center" w:pos="4153"/>
        <w:tab w:val="right" w:pos="8306"/>
      </w:tabs>
      <w:rPr>
        <w:rFonts w:hint="eastAsia"/>
      </w:rPr>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FB5EAA41"/>
    <w:multiLevelType w:val="singleLevel"/>
    <w:tmpl w:val="AAFE5A92"/>
    <w:lvl w:ilvl="0">
      <w:start w:val="1"/>
      <w:numFmt w:val="chineseCounting"/>
      <w:lvlRestart w:val="0"/>
      <w:suff w:val="nothing"/>
      <w:lvlText w:val="%1、"/>
      <w:lvlJc w:val="left"/>
      <w:pPr>
        <w:tabs>
          <w:tab w:val="num" w:pos="0"/>
        </w:tabs>
        <w:ind w:left="-64" w:hanging="0"/>
      </w:pPr>
      <w:rPr>
        <w:rFonts w:hint="eastAsia"/>
      </w:rPr>
    </w:lvl>
  </w:abstractNum>
  <w:abstractNum w:abstractNumId="1">
    <w:nsid w:val="B89001AE"/>
    <w:multiLevelType w:val="singleLevel"/>
    <w:tmpl w:val="FFB4577C"/>
    <w:lvl w:ilvl="0">
      <w:start w:val="2"/>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evenAndOddHeaders/>
  <w:drawingGridHorizontalSpacing w:val="160"/>
  <w:drawingGridVerticalSpacing w:val="579"/>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 w:cs="Times New Roman" w:hAnsi="Times New Roman"/>
      <w:kern w:val="2"/>
      <w:sz w:val="32"/>
      <w:szCs w:val="21"/>
      <w:lang w:val="en-US" w:eastAsia="zh-CN" w:bidi="ar-SA"/>
    </w:rPr>
  </w:style>
  <w:style w:type="paragraph" w:styleId="2">
    <w:name w:val="heading 2"/>
    <w:basedOn w:val="0"/>
    <w:next w:val="0"/>
    <w:pPr>
      <w:keepNext/>
      <w:keepLines/>
      <w:widowControl w:val="0"/>
      <w:spacing w:before="260" w:after="260" w:line="413" w:lineRule="auto"/>
      <w:outlineLvl w:val="1"/>
    </w:pPr>
    <w:rPr>
      <w:rFonts w:ascii="Arial" w:eastAsia="黑体" w:hAnsi="Arial"/>
      <w:b/>
      <w:bCs/>
      <w:szCs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rFonts w:ascii="Calibri" w:eastAsia="宋体" w:cs="Arial" w:hAnsi="Calibri"/>
      <w:sz w:val="18"/>
      <w:szCs w:val="18"/>
    </w:rPr>
  </w:style>
  <w:style w:type="paragraph" w:styleId="16">
    <w:name w:val="footer"/>
    <w:basedOn w:val="0"/>
    <w:pPr>
      <w:tabs>
        <w:tab w:val="center" w:pos="4153"/>
        <w:tab w:val="right" w:pos="8306"/>
      </w:tabs>
      <w:snapToGrid w:val="0"/>
      <w:jc w:val="left"/>
    </w:pPr>
    <w:rPr>
      <w:rFonts w:ascii="Calibri" w:eastAsia="宋体" w:cs="Arial" w:hAnsi="Calibri"/>
      <w:sz w:val="18"/>
      <w:szCs w:val="18"/>
    </w:rPr>
  </w:style>
  <w:style w:type="character" w:styleId="17">
    <w:name w:val="page number"/>
    <w:basedOn w:val="10"/>
  </w:style>
  <w:style w:type="paragraph" w:customStyle="1" w:styleId="18">
    <w:name w:val="列出段落1"/>
    <w:basedOn w:val="0"/>
    <w:pPr>
      <w:ind w:firstLineChars="200" w:firstLine="200"/>
    </w:pPr>
  </w:style>
  <w:style w:type="paragraph" w:styleId="19">
    <w:name w:val="toc 2"/>
    <w:basedOn w:val="0"/>
    <w:next w:val="0"/>
    <w:pPr>
      <w:ind w:leftChars="200" w:left="200"/>
    </w:pPr>
    <w:rPr>
      <w:rFonts w:eastAsia="宋体"/>
      <w:sz w:val="21"/>
      <w:szCs w:val="20"/>
    </w:rPr>
  </w:style>
  <w:style w:type="paragraph" w:styleId="20">
    <w:name w:val="Normal (Web)"/>
    <w:basedOn w:val="0"/>
    <w:pPr>
      <w:widowControl/>
      <w:spacing w:before="100" w:beforeAutospacing="1" w:after="100" w:afterAutospacing="1"/>
      <w:jc w:val="left"/>
    </w:pPr>
    <w:rPr>
      <w:rFonts w:ascii="宋体" w:eastAsia="方正小标宋_GBK" w:cs="宋体" w:hAnsi="宋体"/>
      <w:kern w:val="0"/>
      <w:sz w:val="24"/>
      <w:szCs w:val="24"/>
    </w:rPr>
  </w:style>
  <w:style w:type="paragraph" w:customStyle="1" w:styleId="21">
    <w:name w:val="form"/>
    <w:pPr>
      <w:spacing w:before="100" w:beforeAutospacing="1" w:after="100" w:afterAutospacing="1"/>
    </w:pPr>
    <w:rPr>
      <w:rFonts w:ascii="宋体" w:eastAsia="宋体" w:cs="Times New Roman"/>
      <w:sz w:val="24"/>
      <w:lang w:val="en-US" w:eastAsia="zh-CN" w:bidi="ar-SA"/>
    </w:rPr>
  </w:style>
  <w:style w:type="paragraph" w:styleId="22">
    <w:name w:val="Plain Text"/>
    <w:basedOn w:val="0"/>
    <w:rPr>
      <w:rFonts w:ascii="宋体" w:eastAsia="宋体" w:cs="宋体"/>
      <w:szCs w:val="32"/>
    </w:rPr>
  </w:style>
  <w:style w:type="paragraph" w:styleId="23">
    <w:name w:val="Balloon Text"/>
    <w:basedOn w:val="0"/>
    <w:rPr>
      <w:sz w:val="18"/>
      <w:szCs w:val="18"/>
    </w:rPr>
  </w:style>
  <w:style w:type="paragraph" w:styleId="24">
    <w:name w:val="Date"/>
    <w:basedOn w:val="0"/>
    <w:next w:val="0"/>
    <w:pPr>
      <w:ind w:leftChars="2500" w:left="2500"/>
    </w:pPr>
  </w:style>
  <w:style w:type="paragraph" w:customStyle="1" w:styleId="25">
    <w:name w:val="列出段落2"/>
    <w:basedOn w:val="0"/>
    <w:pPr>
      <w:ind w:firstLineChars="200" w:firstLine="200"/>
    </w:pPr>
    <w:rPr>
      <w:rFonts w:ascii="Calibri" w:eastAsia="宋体" w:hAnsi="Calibri"/>
      <w:szCs w:val="22"/>
    </w:rPr>
  </w:style>
  <w:style w:type="paragraph" w:styleId="26">
    <w:name w:val="table of authorities"/>
    <w:next w:val="0"/>
    <w:pPr>
      <w:widowControl w:val="0"/>
      <w:ind w:left="420"/>
      <w:jc w:val="both"/>
    </w:pPr>
    <w:rPr>
      <w:rFonts w:ascii="Times New Roman" w:eastAsia="方正仿宋" w:cs="Times New Roman" w:hAnsi="Times New Roman"/>
      <w:kern w:val="2"/>
      <w:sz w:val="32"/>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styles" Target="styles.xml"/><Relationship Id="rId8" Type="http://schemas.openxmlformats.org/officeDocument/2006/relationships/numbering" Target="numbering.xml"/><Relationship Id="rId9"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Application>
  <Pages>1</Pages>
  <Words>30</Words>
  <Characters>30</Characters>
  <Lines>1</Lines>
  <Paragraphs>0</Paragraphs>
  <CharactersWithSpaces>30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Windows 用户</dc:creator>
  <cp:lastModifiedBy>1</cp:lastModifiedBy>
  <cp:revision>2</cp:revision>
  <cp:lastPrinted>2019-06-18T09:28:00Z</cp:lastPrinted>
  <dcterms:created xsi:type="dcterms:W3CDTF">2022-06-02T10:00:00Z</dcterms:created>
  <dcterms:modified xsi:type="dcterms:W3CDTF">2023-02-27T10:07:51Z</dcterms:modified>
</cp:coreProperties>
</file>